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79FA" w:rsidRPr="00C36017" w:rsidRDefault="000179FA" w:rsidP="00C36017">
      <w:pPr>
        <w:spacing w:after="0" w:line="240" w:lineRule="auto"/>
        <w:ind w:firstLine="5400"/>
        <w:rPr>
          <w:rFonts w:ascii="Times New Roman" w:hAnsi="Times New Roman"/>
          <w:sz w:val="28"/>
          <w:szCs w:val="28"/>
          <w:lang w:eastAsia="ru-RU"/>
        </w:rPr>
      </w:pPr>
      <w:r w:rsidRPr="00C36017">
        <w:rPr>
          <w:rFonts w:ascii="Times New Roman" w:hAnsi="Times New Roman"/>
          <w:sz w:val="28"/>
          <w:szCs w:val="28"/>
          <w:lang w:eastAsia="ru-RU"/>
        </w:rPr>
        <w:t>ЗАТВЕРДЖЕНО</w:t>
      </w:r>
    </w:p>
    <w:p w:rsidR="000179FA" w:rsidRPr="00C36017" w:rsidRDefault="000179FA" w:rsidP="00C36017">
      <w:pPr>
        <w:spacing w:after="0" w:line="240" w:lineRule="auto"/>
        <w:ind w:firstLine="5400"/>
        <w:rPr>
          <w:rFonts w:ascii="Times New Roman" w:hAnsi="Times New Roman"/>
          <w:sz w:val="28"/>
          <w:szCs w:val="28"/>
          <w:lang w:eastAsia="ru-RU"/>
        </w:rPr>
      </w:pPr>
      <w:r w:rsidRPr="00C36017">
        <w:rPr>
          <w:rFonts w:ascii="Times New Roman" w:hAnsi="Times New Roman"/>
          <w:sz w:val="28"/>
          <w:szCs w:val="28"/>
          <w:lang w:eastAsia="ru-RU"/>
        </w:rPr>
        <w:t xml:space="preserve">Наказ Херсонського </w:t>
      </w:r>
    </w:p>
    <w:p w:rsidR="000179FA" w:rsidRPr="00C36017" w:rsidRDefault="000179FA" w:rsidP="00C36017">
      <w:pPr>
        <w:spacing w:after="0" w:line="240" w:lineRule="auto"/>
        <w:ind w:firstLine="5400"/>
        <w:rPr>
          <w:rFonts w:ascii="Times New Roman" w:hAnsi="Times New Roman"/>
          <w:sz w:val="28"/>
          <w:szCs w:val="28"/>
          <w:lang w:eastAsia="ru-RU"/>
        </w:rPr>
      </w:pPr>
      <w:r w:rsidRPr="00C36017">
        <w:rPr>
          <w:rFonts w:ascii="Times New Roman" w:hAnsi="Times New Roman"/>
          <w:sz w:val="28"/>
          <w:szCs w:val="28"/>
          <w:lang w:eastAsia="ru-RU"/>
        </w:rPr>
        <w:t>державного університету</w:t>
      </w:r>
    </w:p>
    <w:p w:rsidR="000179FA" w:rsidRPr="00C36017" w:rsidRDefault="000179FA" w:rsidP="00C36017">
      <w:pPr>
        <w:keepNext/>
        <w:spacing w:after="0" w:line="240" w:lineRule="auto"/>
        <w:ind w:firstLine="5400"/>
        <w:outlineLvl w:val="0"/>
        <w:rPr>
          <w:rFonts w:ascii="Times New Roman" w:hAnsi="Times New Roman"/>
          <w:sz w:val="28"/>
          <w:szCs w:val="28"/>
          <w:lang w:val="ru-RU" w:eastAsia="ru-RU"/>
        </w:rPr>
      </w:pPr>
      <w:r w:rsidRPr="00C36017">
        <w:rPr>
          <w:rFonts w:ascii="Times New Roman" w:hAnsi="Times New Roman"/>
          <w:sz w:val="28"/>
          <w:szCs w:val="28"/>
          <w:lang w:eastAsia="ru-RU"/>
        </w:rPr>
        <w:t>«29» жовтня 2015 року № 628 -Д</w:t>
      </w:r>
    </w:p>
    <w:p w:rsidR="000179FA" w:rsidRPr="003344FD" w:rsidRDefault="000179FA" w:rsidP="00104F26">
      <w:pPr>
        <w:spacing w:after="0" w:line="240" w:lineRule="auto"/>
        <w:jc w:val="center"/>
        <w:rPr>
          <w:rFonts w:ascii="Times New Roman" w:hAnsi="Times New Roman"/>
          <w:color w:val="FF0000"/>
          <w:sz w:val="28"/>
          <w:szCs w:val="28"/>
          <w:lang w:eastAsia="ru-RU"/>
        </w:rPr>
      </w:pPr>
    </w:p>
    <w:p w:rsidR="000179FA" w:rsidRDefault="000179FA" w:rsidP="00104F26">
      <w:pPr>
        <w:spacing w:after="0" w:line="240" w:lineRule="auto"/>
        <w:jc w:val="center"/>
        <w:rPr>
          <w:rFonts w:ascii="Times New Roman" w:hAnsi="Times New Roman"/>
          <w:sz w:val="28"/>
          <w:szCs w:val="28"/>
          <w:lang w:eastAsia="ru-RU"/>
        </w:rPr>
      </w:pPr>
    </w:p>
    <w:p w:rsidR="000179FA" w:rsidRDefault="000179FA" w:rsidP="00104F26">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ПОЛОЖЕННЯ</w:t>
      </w:r>
    </w:p>
    <w:p w:rsidR="000179FA" w:rsidRDefault="000179FA" w:rsidP="00104F26">
      <w:pPr>
        <w:spacing w:after="0" w:line="240" w:lineRule="auto"/>
        <w:jc w:val="center"/>
        <w:rPr>
          <w:rFonts w:ascii="Times New Roman" w:hAnsi="Times New Roman"/>
          <w:sz w:val="28"/>
          <w:szCs w:val="20"/>
          <w:lang w:val="ru-RU" w:eastAsia="uk-UA"/>
        </w:rPr>
      </w:pPr>
      <w:r>
        <w:rPr>
          <w:rFonts w:ascii="Times New Roman" w:hAnsi="Times New Roman"/>
          <w:sz w:val="28"/>
          <w:szCs w:val="20"/>
          <w:lang w:eastAsia="uk-UA"/>
        </w:rPr>
        <w:t xml:space="preserve">ПРО АКАДЕМІЧНУ МОБІЛЬНІСТЬ СТУДЕНТІВ </w:t>
      </w:r>
    </w:p>
    <w:p w:rsidR="000179FA" w:rsidRDefault="000179FA" w:rsidP="00104F26">
      <w:pPr>
        <w:spacing w:after="0" w:line="240" w:lineRule="auto"/>
        <w:jc w:val="center"/>
        <w:rPr>
          <w:rFonts w:ascii="Times New Roman" w:hAnsi="Times New Roman"/>
          <w:sz w:val="28"/>
          <w:szCs w:val="20"/>
          <w:lang w:eastAsia="uk-UA"/>
        </w:rPr>
      </w:pPr>
      <w:r>
        <w:rPr>
          <w:rFonts w:ascii="Times New Roman" w:hAnsi="Times New Roman"/>
          <w:sz w:val="28"/>
          <w:szCs w:val="20"/>
          <w:lang w:eastAsia="uk-UA"/>
        </w:rPr>
        <w:t xml:space="preserve">ХЕРСОНСЬКОГО ДЕРЖАВНОГО УНІВЕРСИТЕТУ </w:t>
      </w:r>
    </w:p>
    <w:p w:rsidR="000179FA" w:rsidRDefault="000179FA" w:rsidP="00104F26">
      <w:pPr>
        <w:tabs>
          <w:tab w:val="left" w:pos="360"/>
        </w:tabs>
        <w:spacing w:after="0" w:line="240" w:lineRule="auto"/>
        <w:rPr>
          <w:rFonts w:ascii="Times New Roman" w:hAnsi="Times New Roman"/>
          <w:sz w:val="28"/>
          <w:szCs w:val="28"/>
          <w:lang w:eastAsia="ru-RU"/>
        </w:rPr>
      </w:pPr>
    </w:p>
    <w:p w:rsidR="000179FA" w:rsidRDefault="000179FA" w:rsidP="00104F26">
      <w:pPr>
        <w:tabs>
          <w:tab w:val="left" w:pos="360"/>
        </w:tabs>
        <w:spacing w:after="0" w:line="240" w:lineRule="auto"/>
        <w:jc w:val="center"/>
        <w:rPr>
          <w:rFonts w:ascii="Times New Roman" w:hAnsi="Times New Roman"/>
          <w:sz w:val="28"/>
          <w:szCs w:val="28"/>
          <w:lang w:eastAsia="ru-RU"/>
        </w:rPr>
      </w:pPr>
      <w:r>
        <w:rPr>
          <w:rFonts w:ascii="Times New Roman" w:hAnsi="Times New Roman"/>
          <w:sz w:val="28"/>
          <w:szCs w:val="28"/>
          <w:lang w:eastAsia="ru-RU"/>
        </w:rPr>
        <w:t>1.ЗАГАЛЬНІ ПОЛОЖЕННЯ</w:t>
      </w:r>
    </w:p>
    <w:p w:rsidR="000179FA" w:rsidRDefault="000179FA" w:rsidP="00104F26">
      <w:pPr>
        <w:pStyle w:val="ListParagraph"/>
        <w:tabs>
          <w:tab w:val="left" w:pos="360"/>
        </w:tabs>
        <w:spacing w:after="0" w:line="240" w:lineRule="auto"/>
        <w:ind w:left="1077"/>
        <w:rPr>
          <w:rFonts w:ascii="Times New Roman" w:hAnsi="Times New Roman"/>
          <w:sz w:val="28"/>
          <w:szCs w:val="28"/>
          <w:lang w:eastAsia="ru-RU"/>
        </w:rPr>
      </w:pPr>
    </w:p>
    <w:p w:rsidR="000179FA" w:rsidRDefault="000179FA" w:rsidP="00104F26">
      <w:pPr>
        <w:tabs>
          <w:tab w:val="left" w:pos="1134"/>
        </w:tabs>
        <w:spacing w:after="0" w:line="240" w:lineRule="auto"/>
        <w:ind w:firstLine="357"/>
        <w:jc w:val="both"/>
        <w:rPr>
          <w:rFonts w:ascii="Times New Roman" w:hAnsi="Times New Roman"/>
          <w:sz w:val="28"/>
          <w:szCs w:val="28"/>
          <w:lang w:eastAsia="ru-RU"/>
        </w:rPr>
      </w:pPr>
      <w:r>
        <w:rPr>
          <w:rFonts w:ascii="Times New Roman" w:hAnsi="Times New Roman"/>
          <w:sz w:val="28"/>
          <w:szCs w:val="28"/>
          <w:lang w:eastAsia="ru-RU"/>
        </w:rPr>
        <w:t xml:space="preserve">1.Положення регламентує діяльність Херсонського державного університету (далі – ХДУ) щодо організації академічної мобільності учасників освітнього процесу і встановлює загальний порядок організації різних програм академічної мобільності на території України і за кордоном. </w:t>
      </w:r>
    </w:p>
    <w:p w:rsidR="000179FA" w:rsidRDefault="000179FA" w:rsidP="00104F26">
      <w:pPr>
        <w:tabs>
          <w:tab w:val="left" w:pos="1055"/>
          <w:tab w:val="left" w:pos="1276"/>
        </w:tabs>
        <w:spacing w:after="0" w:line="240" w:lineRule="auto"/>
        <w:ind w:firstLine="357"/>
        <w:jc w:val="both"/>
        <w:rPr>
          <w:rFonts w:ascii="Times New Roman" w:hAnsi="Times New Roman"/>
          <w:sz w:val="28"/>
          <w:szCs w:val="28"/>
          <w:lang w:eastAsia="ru-RU"/>
        </w:rPr>
      </w:pPr>
      <w:r>
        <w:rPr>
          <w:rFonts w:ascii="Times New Roman" w:hAnsi="Times New Roman"/>
          <w:sz w:val="28"/>
          <w:szCs w:val="28"/>
          <w:lang w:eastAsia="ru-RU"/>
        </w:rPr>
        <w:t>2. Академічна мобільність передбачає участь як вітчизняних, так і іноземних учасників освітнього процесу в освітньому процесі (в Україні або за кордоном), проходження навчальної або виробничої практики, проведення наукових досліджень з можливістю перезарахування в установленому порядку освоєних навчальних дисциплін, практик тощо.</w:t>
      </w:r>
    </w:p>
    <w:p w:rsidR="000179FA" w:rsidRDefault="000179FA" w:rsidP="00104F26">
      <w:pPr>
        <w:spacing w:after="0" w:line="240" w:lineRule="auto"/>
        <w:ind w:firstLine="567"/>
        <w:jc w:val="both"/>
        <w:rPr>
          <w:rFonts w:ascii="Times New Roman" w:hAnsi="Times New Roman"/>
          <w:sz w:val="28"/>
          <w:szCs w:val="28"/>
          <w:lang w:eastAsia="uk-UA"/>
        </w:rPr>
      </w:pPr>
      <w:r>
        <w:rPr>
          <w:rFonts w:ascii="Times New Roman" w:hAnsi="Times New Roman"/>
          <w:sz w:val="28"/>
          <w:szCs w:val="28"/>
          <w:lang w:eastAsia="uk-UA"/>
        </w:rPr>
        <w:t>Навчання вітчизняних та іноземних учасників освітнього процесу за узгодженими між вищими навчальними закладами (науковими установами) – партнерами освітніми програмами, що включають програми академічної мобільності, може передбачати отримання випускниками документа про вищу освіту вищого навчального закладу (наукової установи) – партнера, а також спільних або подвійних документів про вищу освіту вищих навчальних закладів (наукових установ) – партнерів.</w:t>
      </w:r>
    </w:p>
    <w:p w:rsidR="000179FA" w:rsidRDefault="000179FA" w:rsidP="00104F26">
      <w:pPr>
        <w:tabs>
          <w:tab w:val="left" w:pos="1134"/>
        </w:tabs>
        <w:spacing w:after="0" w:line="240" w:lineRule="auto"/>
        <w:ind w:firstLine="357"/>
        <w:jc w:val="both"/>
        <w:rPr>
          <w:rFonts w:ascii="Times New Roman" w:hAnsi="Times New Roman"/>
          <w:sz w:val="28"/>
          <w:szCs w:val="28"/>
          <w:lang w:eastAsia="ru-RU"/>
        </w:rPr>
      </w:pPr>
      <w:r>
        <w:rPr>
          <w:rFonts w:ascii="Times New Roman" w:hAnsi="Times New Roman"/>
          <w:sz w:val="28"/>
          <w:szCs w:val="28"/>
          <w:lang w:eastAsia="ru-RU"/>
        </w:rPr>
        <w:t xml:space="preserve">3. Академічна мобільність здійснюється на підставі </w:t>
      </w:r>
      <w:r>
        <w:rPr>
          <w:rFonts w:ascii="Times New Roman" w:hAnsi="Times New Roman"/>
          <w:sz w:val="28"/>
          <w:szCs w:val="28"/>
          <w:lang w:eastAsia="uk-UA"/>
        </w:rPr>
        <w:t>міжнародних договорів про співробітництво в галузі освіти та науки, міжнародних програм та проектів,</w:t>
      </w:r>
      <w:r>
        <w:rPr>
          <w:rFonts w:ascii="Times New Roman" w:hAnsi="Times New Roman"/>
          <w:sz w:val="28"/>
          <w:szCs w:val="28"/>
          <w:lang w:eastAsia="ru-RU"/>
        </w:rPr>
        <w:t xml:space="preserve"> укладення угод про співробітництво між іноземним вищим навчальним закладом та ХДУ, між вищими навчальними закладами України та ХДУ, між групою вищих навчальних закладів різних країн та ХДУ за узгодженими та затвердженими в установленому порядку індивідуальними навчальними планами та програмами навчальних дисциплін. Вищі навчальні заклади, які уклали угоду з ХДУ про співробітництво, в цілях цього Положення надалі іменуються «вищі навчальні заклади-партнери».</w:t>
      </w:r>
    </w:p>
    <w:p w:rsidR="000179FA" w:rsidRDefault="000179FA" w:rsidP="00104F26">
      <w:pPr>
        <w:spacing w:after="0" w:line="240" w:lineRule="auto"/>
        <w:ind w:firstLine="357"/>
        <w:jc w:val="both"/>
        <w:rPr>
          <w:rFonts w:ascii="Times New Roman" w:hAnsi="Times New Roman"/>
          <w:sz w:val="28"/>
          <w:szCs w:val="28"/>
          <w:lang w:eastAsia="uk-UA"/>
        </w:rPr>
      </w:pPr>
      <w:r>
        <w:rPr>
          <w:rFonts w:ascii="Times New Roman" w:hAnsi="Times New Roman"/>
          <w:sz w:val="28"/>
          <w:szCs w:val="28"/>
          <w:lang w:eastAsia="uk-UA"/>
        </w:rPr>
        <w:t>4. Право на академічну мобільність може бути реалізоване вітчизняним учасником освітнього процесу з власної ініціативи, підтриманої адміністрацією ХДУ, на основі індивідуальних запрошень та інших механізмів.</w:t>
      </w:r>
    </w:p>
    <w:p w:rsidR="000179FA" w:rsidRDefault="000179FA" w:rsidP="00104F26">
      <w:pPr>
        <w:spacing w:after="0" w:line="240" w:lineRule="auto"/>
        <w:ind w:firstLine="357"/>
        <w:jc w:val="both"/>
        <w:rPr>
          <w:rFonts w:ascii="Times New Roman" w:hAnsi="Times New Roman"/>
          <w:sz w:val="28"/>
          <w:szCs w:val="28"/>
          <w:lang w:eastAsia="uk-UA"/>
        </w:rPr>
      </w:pPr>
      <w:r>
        <w:rPr>
          <w:rFonts w:ascii="Times New Roman" w:hAnsi="Times New Roman"/>
          <w:sz w:val="28"/>
          <w:szCs w:val="28"/>
          <w:lang w:eastAsia="uk-UA"/>
        </w:rPr>
        <w:t>5. За місцем реалізації права на академічну мобільність вона поділяється на:</w:t>
      </w:r>
    </w:p>
    <w:p w:rsidR="000179FA" w:rsidRDefault="000179FA" w:rsidP="00104F26">
      <w:pPr>
        <w:spacing w:after="0" w:line="240" w:lineRule="auto"/>
        <w:ind w:firstLine="357"/>
        <w:jc w:val="both"/>
        <w:rPr>
          <w:rFonts w:ascii="Times New Roman" w:hAnsi="Times New Roman"/>
          <w:sz w:val="28"/>
          <w:szCs w:val="28"/>
          <w:lang w:eastAsia="uk-UA"/>
        </w:rPr>
      </w:pPr>
      <w:r>
        <w:rPr>
          <w:rFonts w:ascii="Times New Roman" w:hAnsi="Times New Roman"/>
          <w:sz w:val="28"/>
          <w:szCs w:val="28"/>
          <w:lang w:eastAsia="uk-UA"/>
        </w:rPr>
        <w:t>внутрішню академічну мобільність — академічна мобільність, право на яку реалізується вітчизняними учасниками освітнього процесу у вищих навчальних закладах (наукових установах) — партнерах в межах України;</w:t>
      </w:r>
    </w:p>
    <w:p w:rsidR="000179FA" w:rsidRDefault="000179FA" w:rsidP="00104F26">
      <w:pPr>
        <w:spacing w:after="0" w:line="240" w:lineRule="auto"/>
        <w:ind w:firstLine="357"/>
        <w:jc w:val="both"/>
        <w:rPr>
          <w:rFonts w:ascii="Times New Roman" w:hAnsi="Times New Roman"/>
          <w:sz w:val="28"/>
          <w:szCs w:val="28"/>
          <w:lang w:eastAsia="uk-UA"/>
        </w:rPr>
      </w:pPr>
      <w:r>
        <w:rPr>
          <w:rFonts w:ascii="Times New Roman" w:hAnsi="Times New Roman"/>
          <w:sz w:val="28"/>
          <w:szCs w:val="28"/>
          <w:lang w:eastAsia="uk-UA"/>
        </w:rPr>
        <w:t>міжнародну академічну мобільність — академічна мобільність, право на яку реалізується вітчизняними учасниками освітнього процесу у вищих навчальних закладах (наукових установах) — партнерах поза межами України, а також іноземними учасниками освітнього процесу у вітчизняних вищих навчальних закладах (наукових установах).</w:t>
      </w:r>
    </w:p>
    <w:p w:rsidR="000179FA" w:rsidRDefault="000179FA" w:rsidP="00104F26">
      <w:pPr>
        <w:spacing w:after="0" w:line="240" w:lineRule="auto"/>
        <w:ind w:firstLine="357"/>
        <w:jc w:val="both"/>
        <w:rPr>
          <w:rFonts w:ascii="Times New Roman" w:hAnsi="Times New Roman"/>
          <w:sz w:val="28"/>
          <w:szCs w:val="28"/>
          <w:lang w:eastAsia="uk-UA"/>
        </w:rPr>
      </w:pPr>
      <w:r>
        <w:rPr>
          <w:rFonts w:ascii="Times New Roman" w:hAnsi="Times New Roman"/>
          <w:sz w:val="28"/>
          <w:szCs w:val="28"/>
          <w:lang w:eastAsia="uk-UA"/>
        </w:rPr>
        <w:t>6. Основними видами академічної мобільності є:</w:t>
      </w:r>
    </w:p>
    <w:p w:rsidR="000179FA" w:rsidRDefault="000179FA" w:rsidP="00104F26">
      <w:pPr>
        <w:spacing w:after="0" w:line="240" w:lineRule="auto"/>
        <w:ind w:firstLine="357"/>
        <w:jc w:val="both"/>
        <w:rPr>
          <w:rFonts w:ascii="Times New Roman" w:hAnsi="Times New Roman"/>
          <w:sz w:val="28"/>
          <w:szCs w:val="28"/>
          <w:lang w:eastAsia="uk-UA"/>
        </w:rPr>
      </w:pPr>
      <w:r>
        <w:rPr>
          <w:rFonts w:ascii="Times New Roman" w:hAnsi="Times New Roman"/>
          <w:sz w:val="28"/>
          <w:szCs w:val="28"/>
          <w:lang w:eastAsia="uk-UA"/>
        </w:rPr>
        <w:t>ступенева мобільність — навчання у вищому навчальному закладі, відмінному від постійного місця навчання учасника освітнього процесу, з метою здобуття ступеня вищої освіти, що підтверджується документом (документами) про вищу освіту або про здобуття ступеня вищої освіти від двох або більше вищих навчальних закладів;</w:t>
      </w:r>
    </w:p>
    <w:p w:rsidR="000179FA" w:rsidRDefault="000179FA" w:rsidP="00104F26">
      <w:pPr>
        <w:spacing w:after="0" w:line="240" w:lineRule="auto"/>
        <w:ind w:firstLine="357"/>
        <w:jc w:val="both"/>
        <w:rPr>
          <w:rFonts w:ascii="Times New Roman" w:hAnsi="Times New Roman"/>
          <w:sz w:val="28"/>
          <w:szCs w:val="28"/>
          <w:lang w:eastAsia="uk-UA"/>
        </w:rPr>
      </w:pPr>
      <w:r>
        <w:rPr>
          <w:rFonts w:ascii="Times New Roman" w:hAnsi="Times New Roman"/>
          <w:sz w:val="28"/>
          <w:szCs w:val="28"/>
          <w:lang w:eastAsia="uk-UA"/>
        </w:rPr>
        <w:t>кредитна мобільність — навчання у вищому навчальному закладі, відмінному від постійного місця навчання учасника освітнього процесу, з метою здобуття кредитів Європейської кредитної трансферно-накопичувальної системи та/або відповідних компетентностей, результатів навчання (без здобуття кредитів Європейської кредитної трансферно-накопичувальної системи), що будуть визнані у вищому навчальному закладі постійного місця навчання вітчизняного чи іноземного учасника освітнього процесу. При цьому загальний період навчання для таких учасників за програмами кредитної мобільності залишається незмінним.</w:t>
      </w:r>
    </w:p>
    <w:p w:rsidR="000179FA" w:rsidRDefault="000179FA" w:rsidP="00104F26">
      <w:pPr>
        <w:spacing w:after="0" w:line="240" w:lineRule="auto"/>
        <w:ind w:firstLine="357"/>
        <w:jc w:val="both"/>
        <w:rPr>
          <w:rFonts w:ascii="Times New Roman" w:hAnsi="Times New Roman"/>
          <w:sz w:val="28"/>
          <w:szCs w:val="28"/>
          <w:lang w:eastAsia="uk-UA"/>
        </w:rPr>
      </w:pPr>
      <w:r>
        <w:rPr>
          <w:rFonts w:ascii="Times New Roman" w:hAnsi="Times New Roman"/>
          <w:sz w:val="28"/>
          <w:szCs w:val="28"/>
          <w:lang w:eastAsia="uk-UA"/>
        </w:rPr>
        <w:t>7. Формами академічної мобільності для учасників освітнього процесу, що здобувають освітні ступені, бакалавра, магістра та доктора філософії у вітчизняних вищих навчальних закладах, є:</w:t>
      </w:r>
    </w:p>
    <w:p w:rsidR="000179FA" w:rsidRDefault="000179FA" w:rsidP="00104F26">
      <w:pPr>
        <w:spacing w:after="0" w:line="240" w:lineRule="auto"/>
        <w:ind w:firstLine="357"/>
        <w:jc w:val="both"/>
        <w:rPr>
          <w:rFonts w:ascii="Times New Roman" w:hAnsi="Times New Roman"/>
          <w:sz w:val="28"/>
          <w:szCs w:val="28"/>
          <w:lang w:eastAsia="uk-UA"/>
        </w:rPr>
      </w:pPr>
      <w:r>
        <w:rPr>
          <w:rFonts w:ascii="Times New Roman" w:hAnsi="Times New Roman"/>
          <w:sz w:val="28"/>
          <w:szCs w:val="28"/>
          <w:lang w:eastAsia="uk-UA"/>
        </w:rPr>
        <w:t>навчання за програмами академічної мобільності;</w:t>
      </w:r>
    </w:p>
    <w:p w:rsidR="000179FA" w:rsidRDefault="000179FA" w:rsidP="00104F26">
      <w:pPr>
        <w:spacing w:after="0" w:line="240" w:lineRule="auto"/>
        <w:ind w:firstLine="357"/>
        <w:jc w:val="both"/>
        <w:rPr>
          <w:rFonts w:ascii="Times New Roman" w:hAnsi="Times New Roman"/>
          <w:sz w:val="28"/>
          <w:szCs w:val="28"/>
          <w:lang w:eastAsia="uk-UA"/>
        </w:rPr>
      </w:pPr>
      <w:r>
        <w:rPr>
          <w:rFonts w:ascii="Times New Roman" w:hAnsi="Times New Roman"/>
          <w:sz w:val="28"/>
          <w:szCs w:val="28"/>
          <w:lang w:eastAsia="uk-UA"/>
        </w:rPr>
        <w:t>мовне стажування;</w:t>
      </w:r>
    </w:p>
    <w:p w:rsidR="000179FA" w:rsidRDefault="000179FA" w:rsidP="00104F26">
      <w:pPr>
        <w:spacing w:after="0" w:line="240" w:lineRule="auto"/>
        <w:ind w:firstLine="357"/>
        <w:jc w:val="both"/>
        <w:rPr>
          <w:rFonts w:ascii="Times New Roman" w:hAnsi="Times New Roman"/>
          <w:color w:val="FFC000"/>
          <w:sz w:val="28"/>
          <w:szCs w:val="28"/>
          <w:lang w:eastAsia="uk-UA"/>
        </w:rPr>
      </w:pPr>
      <w:r>
        <w:rPr>
          <w:rFonts w:ascii="Times New Roman" w:hAnsi="Times New Roman"/>
          <w:sz w:val="28"/>
          <w:szCs w:val="28"/>
          <w:lang w:eastAsia="uk-UA"/>
        </w:rPr>
        <w:t>наукове стажування.</w:t>
      </w:r>
    </w:p>
    <w:p w:rsidR="000179FA" w:rsidRDefault="000179FA" w:rsidP="00104F26">
      <w:pPr>
        <w:spacing w:after="0" w:line="240" w:lineRule="auto"/>
        <w:ind w:firstLine="357"/>
        <w:jc w:val="both"/>
        <w:rPr>
          <w:rFonts w:ascii="Times New Roman" w:hAnsi="Times New Roman"/>
          <w:sz w:val="28"/>
          <w:szCs w:val="28"/>
          <w:lang w:eastAsia="uk-UA"/>
        </w:rPr>
      </w:pPr>
      <w:r>
        <w:rPr>
          <w:rFonts w:ascii="Times New Roman" w:hAnsi="Times New Roman"/>
          <w:sz w:val="28"/>
          <w:szCs w:val="28"/>
          <w:lang w:eastAsia="uk-UA"/>
        </w:rPr>
        <w:t>8. Формами академічної мобільності для осіб, що здобувають наукову ступінь доктора наук, науково-педагогічних, наукових і педагогічних працівників та інших учасників освітнього процесу, є:</w:t>
      </w:r>
    </w:p>
    <w:p w:rsidR="000179FA" w:rsidRDefault="000179FA" w:rsidP="00104F26">
      <w:pPr>
        <w:spacing w:after="0" w:line="240" w:lineRule="auto"/>
        <w:ind w:firstLine="357"/>
        <w:jc w:val="both"/>
        <w:rPr>
          <w:rFonts w:ascii="Times New Roman" w:hAnsi="Times New Roman"/>
          <w:sz w:val="28"/>
          <w:szCs w:val="28"/>
          <w:lang w:eastAsia="uk-UA"/>
        </w:rPr>
      </w:pPr>
      <w:r>
        <w:rPr>
          <w:rFonts w:ascii="Times New Roman" w:hAnsi="Times New Roman"/>
          <w:sz w:val="28"/>
          <w:szCs w:val="28"/>
          <w:lang w:eastAsia="uk-UA"/>
        </w:rPr>
        <w:t>участь у спільних проектах;</w:t>
      </w:r>
    </w:p>
    <w:p w:rsidR="000179FA" w:rsidRDefault="000179FA" w:rsidP="00104F26">
      <w:pPr>
        <w:spacing w:after="0" w:line="240" w:lineRule="auto"/>
        <w:ind w:firstLine="357"/>
        <w:jc w:val="both"/>
        <w:rPr>
          <w:rFonts w:ascii="Times New Roman" w:hAnsi="Times New Roman"/>
          <w:sz w:val="28"/>
          <w:szCs w:val="28"/>
          <w:lang w:eastAsia="uk-UA"/>
        </w:rPr>
      </w:pPr>
      <w:r>
        <w:rPr>
          <w:rFonts w:ascii="Times New Roman" w:hAnsi="Times New Roman"/>
          <w:sz w:val="28"/>
          <w:szCs w:val="28"/>
          <w:lang w:eastAsia="uk-UA"/>
        </w:rPr>
        <w:t>викладання;</w:t>
      </w:r>
    </w:p>
    <w:p w:rsidR="000179FA" w:rsidRDefault="000179FA" w:rsidP="00104F26">
      <w:pPr>
        <w:spacing w:after="0" w:line="240" w:lineRule="auto"/>
        <w:ind w:firstLine="357"/>
        <w:jc w:val="both"/>
        <w:rPr>
          <w:rFonts w:ascii="Times New Roman" w:hAnsi="Times New Roman"/>
          <w:sz w:val="28"/>
          <w:szCs w:val="28"/>
          <w:lang w:eastAsia="uk-UA"/>
        </w:rPr>
      </w:pPr>
      <w:r>
        <w:rPr>
          <w:rFonts w:ascii="Times New Roman" w:hAnsi="Times New Roman"/>
          <w:sz w:val="28"/>
          <w:szCs w:val="28"/>
          <w:lang w:eastAsia="uk-UA"/>
        </w:rPr>
        <w:t>наукове дослідження;</w:t>
      </w:r>
    </w:p>
    <w:p w:rsidR="000179FA" w:rsidRDefault="000179FA" w:rsidP="00104F26">
      <w:pPr>
        <w:spacing w:after="0" w:line="240" w:lineRule="auto"/>
        <w:ind w:firstLine="357"/>
        <w:jc w:val="both"/>
        <w:rPr>
          <w:rFonts w:ascii="Times New Roman" w:hAnsi="Times New Roman"/>
          <w:sz w:val="28"/>
          <w:szCs w:val="28"/>
          <w:lang w:eastAsia="uk-UA"/>
        </w:rPr>
      </w:pPr>
      <w:r>
        <w:rPr>
          <w:rFonts w:ascii="Times New Roman" w:hAnsi="Times New Roman"/>
          <w:sz w:val="28"/>
          <w:szCs w:val="28"/>
          <w:lang w:eastAsia="uk-UA"/>
        </w:rPr>
        <w:t>наукове стажування;</w:t>
      </w:r>
    </w:p>
    <w:p w:rsidR="000179FA" w:rsidRDefault="000179FA" w:rsidP="00104F26">
      <w:pPr>
        <w:spacing w:after="0" w:line="240" w:lineRule="auto"/>
        <w:ind w:firstLine="357"/>
        <w:jc w:val="both"/>
        <w:rPr>
          <w:rFonts w:ascii="Times New Roman" w:hAnsi="Times New Roman"/>
          <w:sz w:val="28"/>
          <w:szCs w:val="28"/>
          <w:lang w:eastAsia="uk-UA"/>
        </w:rPr>
      </w:pPr>
      <w:r>
        <w:rPr>
          <w:rFonts w:ascii="Times New Roman" w:hAnsi="Times New Roman"/>
          <w:sz w:val="28"/>
          <w:szCs w:val="28"/>
          <w:lang w:eastAsia="uk-UA"/>
        </w:rPr>
        <w:t>підвищення кваліфікації.</w:t>
      </w:r>
    </w:p>
    <w:p w:rsidR="000179FA" w:rsidRDefault="000179FA" w:rsidP="00104F26">
      <w:pPr>
        <w:spacing w:after="0" w:line="240" w:lineRule="auto"/>
        <w:ind w:firstLine="357"/>
        <w:jc w:val="both"/>
        <w:rPr>
          <w:rFonts w:ascii="Times New Roman" w:hAnsi="Times New Roman"/>
          <w:sz w:val="28"/>
          <w:szCs w:val="28"/>
          <w:lang w:eastAsia="ru-RU"/>
        </w:rPr>
      </w:pPr>
      <w:r>
        <w:rPr>
          <w:rFonts w:ascii="Times New Roman" w:hAnsi="Times New Roman"/>
          <w:sz w:val="28"/>
          <w:szCs w:val="28"/>
          <w:lang w:eastAsia="ru-RU"/>
        </w:rPr>
        <w:t>9.Умови навчання і перебування учасників академічної мобільності та інші питання визначаються двосторонніми або багатосторонніми угодами між вищими навчальними закладами-партнерами.</w:t>
      </w:r>
    </w:p>
    <w:p w:rsidR="000179FA" w:rsidRDefault="000179FA" w:rsidP="00104F26">
      <w:pPr>
        <w:tabs>
          <w:tab w:val="left" w:pos="1134"/>
        </w:tabs>
        <w:spacing w:after="0" w:line="240" w:lineRule="auto"/>
        <w:jc w:val="both"/>
        <w:rPr>
          <w:rFonts w:ascii="Times New Roman" w:hAnsi="Times New Roman"/>
          <w:sz w:val="28"/>
          <w:szCs w:val="28"/>
          <w:lang w:eastAsia="ru-RU"/>
        </w:rPr>
      </w:pPr>
    </w:p>
    <w:p w:rsidR="000179FA" w:rsidRDefault="000179FA" w:rsidP="00104F26">
      <w:pPr>
        <w:tabs>
          <w:tab w:val="left" w:pos="1134"/>
        </w:tabs>
        <w:spacing w:after="0" w:line="240" w:lineRule="auto"/>
        <w:jc w:val="center"/>
        <w:rPr>
          <w:rFonts w:ascii="Times New Roman" w:hAnsi="Times New Roman"/>
          <w:sz w:val="28"/>
          <w:szCs w:val="28"/>
          <w:lang w:eastAsia="ru-RU"/>
        </w:rPr>
      </w:pPr>
      <w:r>
        <w:rPr>
          <w:rFonts w:ascii="Times New Roman" w:hAnsi="Times New Roman"/>
          <w:sz w:val="28"/>
          <w:szCs w:val="28"/>
          <w:lang w:eastAsia="ru-RU"/>
        </w:rPr>
        <w:t xml:space="preserve">2.ЦІЛІ ТА ЗАВДАННЯ АКАДЕМІЧНОЇ МОБІЛЬНОСТІ </w:t>
      </w:r>
    </w:p>
    <w:p w:rsidR="000179FA" w:rsidRDefault="000179FA" w:rsidP="00104F26">
      <w:pPr>
        <w:tabs>
          <w:tab w:val="left" w:pos="1134"/>
        </w:tabs>
        <w:spacing w:after="0" w:line="240" w:lineRule="auto"/>
        <w:jc w:val="center"/>
        <w:rPr>
          <w:rFonts w:ascii="Times New Roman" w:hAnsi="Times New Roman"/>
          <w:sz w:val="28"/>
          <w:szCs w:val="28"/>
          <w:lang w:eastAsia="ru-RU"/>
        </w:rPr>
      </w:pPr>
    </w:p>
    <w:p w:rsidR="000179FA" w:rsidRDefault="000179FA" w:rsidP="00104F26">
      <w:pPr>
        <w:tabs>
          <w:tab w:val="left" w:pos="567"/>
          <w:tab w:val="left" w:pos="1134"/>
        </w:tabs>
        <w:spacing w:after="0" w:line="240" w:lineRule="auto"/>
        <w:ind w:firstLine="357"/>
        <w:jc w:val="both"/>
        <w:rPr>
          <w:rFonts w:ascii="Times New Roman" w:hAnsi="Times New Roman"/>
          <w:sz w:val="28"/>
          <w:szCs w:val="28"/>
          <w:lang w:eastAsia="ru-RU"/>
        </w:rPr>
      </w:pPr>
      <w:r>
        <w:rPr>
          <w:rFonts w:ascii="Times New Roman" w:hAnsi="Times New Roman"/>
          <w:sz w:val="28"/>
          <w:szCs w:val="28"/>
          <w:lang w:eastAsia="ru-RU"/>
        </w:rPr>
        <w:t>1. Основними цілями академічної мобільності учасників освітнього процесу в ХДУ є:</w:t>
      </w:r>
    </w:p>
    <w:p w:rsidR="000179FA" w:rsidRDefault="000179FA" w:rsidP="00104F26">
      <w:pPr>
        <w:tabs>
          <w:tab w:val="left" w:pos="567"/>
        </w:tabs>
        <w:spacing w:after="0" w:line="240" w:lineRule="auto"/>
        <w:ind w:firstLine="357"/>
        <w:jc w:val="both"/>
        <w:rPr>
          <w:rFonts w:ascii="Times New Roman" w:hAnsi="Times New Roman"/>
          <w:sz w:val="28"/>
          <w:szCs w:val="28"/>
          <w:lang w:eastAsia="ru-RU"/>
        </w:rPr>
      </w:pPr>
      <w:r>
        <w:rPr>
          <w:rFonts w:ascii="Times New Roman" w:hAnsi="Times New Roman"/>
          <w:sz w:val="28"/>
          <w:szCs w:val="28"/>
          <w:lang w:eastAsia="ru-RU"/>
        </w:rPr>
        <w:tab/>
        <w:t>підвищення якості вищої освіти;</w:t>
      </w:r>
    </w:p>
    <w:p w:rsidR="000179FA" w:rsidRDefault="000179FA" w:rsidP="00104F26">
      <w:pPr>
        <w:tabs>
          <w:tab w:val="left" w:pos="567"/>
        </w:tabs>
        <w:spacing w:after="0" w:line="240" w:lineRule="auto"/>
        <w:ind w:firstLine="357"/>
        <w:jc w:val="both"/>
        <w:rPr>
          <w:rFonts w:ascii="Times New Roman" w:hAnsi="Times New Roman"/>
          <w:sz w:val="28"/>
          <w:szCs w:val="28"/>
          <w:lang w:eastAsia="ru-RU"/>
        </w:rPr>
      </w:pPr>
      <w:r>
        <w:rPr>
          <w:rFonts w:ascii="Times New Roman" w:hAnsi="Times New Roman"/>
          <w:sz w:val="28"/>
          <w:szCs w:val="28"/>
          <w:lang w:eastAsia="ru-RU"/>
        </w:rPr>
        <w:tab/>
        <w:t>підвищення ефективності наукових досліджень;</w:t>
      </w:r>
    </w:p>
    <w:p w:rsidR="000179FA" w:rsidRDefault="000179FA" w:rsidP="00104F26">
      <w:pPr>
        <w:tabs>
          <w:tab w:val="left" w:pos="567"/>
        </w:tabs>
        <w:spacing w:after="0" w:line="240" w:lineRule="auto"/>
        <w:ind w:firstLine="357"/>
        <w:jc w:val="both"/>
        <w:rPr>
          <w:rFonts w:ascii="Times New Roman" w:hAnsi="Times New Roman"/>
          <w:sz w:val="28"/>
          <w:szCs w:val="28"/>
          <w:lang w:eastAsia="ru-RU"/>
        </w:rPr>
      </w:pPr>
      <w:r>
        <w:rPr>
          <w:rFonts w:ascii="Times New Roman" w:hAnsi="Times New Roman"/>
          <w:sz w:val="28"/>
          <w:szCs w:val="28"/>
          <w:lang w:eastAsia="ru-RU"/>
        </w:rPr>
        <w:tab/>
        <w:t>підвищення конкурентоздатності випускників ХДУ на українському та міжнародному ринках освітніх послуг та праці;</w:t>
      </w:r>
    </w:p>
    <w:p w:rsidR="000179FA" w:rsidRDefault="000179FA" w:rsidP="00104F26">
      <w:pPr>
        <w:tabs>
          <w:tab w:val="left" w:pos="567"/>
        </w:tabs>
        <w:spacing w:after="0" w:line="240" w:lineRule="auto"/>
        <w:ind w:firstLine="357"/>
        <w:jc w:val="both"/>
        <w:rPr>
          <w:rFonts w:ascii="Times New Roman" w:hAnsi="Times New Roman"/>
          <w:sz w:val="28"/>
          <w:szCs w:val="28"/>
          <w:lang w:eastAsia="ru-RU"/>
        </w:rPr>
      </w:pPr>
      <w:r>
        <w:rPr>
          <w:rFonts w:ascii="Times New Roman" w:hAnsi="Times New Roman"/>
          <w:sz w:val="28"/>
          <w:szCs w:val="28"/>
          <w:lang w:eastAsia="ru-RU"/>
        </w:rPr>
        <w:tab/>
        <w:t>збагачення індивідуального досвіду здобувачів вищої освіти щодо інших моделей створення та поширення знань;</w:t>
      </w:r>
    </w:p>
    <w:p w:rsidR="000179FA" w:rsidRDefault="000179FA" w:rsidP="00104F26">
      <w:pPr>
        <w:tabs>
          <w:tab w:val="left" w:pos="567"/>
        </w:tabs>
        <w:spacing w:after="0" w:line="240" w:lineRule="auto"/>
        <w:ind w:firstLine="357"/>
        <w:jc w:val="both"/>
        <w:rPr>
          <w:rFonts w:ascii="Times New Roman" w:hAnsi="Times New Roman"/>
          <w:sz w:val="28"/>
          <w:szCs w:val="28"/>
          <w:lang w:eastAsia="ru-RU"/>
        </w:rPr>
      </w:pPr>
      <w:r>
        <w:rPr>
          <w:rFonts w:ascii="Times New Roman" w:hAnsi="Times New Roman"/>
          <w:sz w:val="28"/>
          <w:szCs w:val="28"/>
          <w:lang w:eastAsia="ru-RU"/>
        </w:rPr>
        <w:t>залучення світового інтелектуального потенціалу до вітчизняного освітнього процесу на основі двосторонніх та багатосторонніх угод між вищими навчальними закладами-партнерами;</w:t>
      </w:r>
    </w:p>
    <w:p w:rsidR="000179FA" w:rsidRDefault="000179FA" w:rsidP="00104F26">
      <w:pPr>
        <w:tabs>
          <w:tab w:val="left" w:pos="567"/>
        </w:tabs>
        <w:spacing w:after="0" w:line="240" w:lineRule="auto"/>
        <w:ind w:firstLine="357"/>
        <w:jc w:val="both"/>
        <w:rPr>
          <w:rFonts w:ascii="Times New Roman" w:hAnsi="Times New Roman"/>
          <w:sz w:val="28"/>
          <w:szCs w:val="28"/>
          <w:lang w:eastAsia="ru-RU"/>
        </w:rPr>
      </w:pPr>
      <w:r>
        <w:rPr>
          <w:rFonts w:ascii="Times New Roman" w:hAnsi="Times New Roman"/>
          <w:sz w:val="28"/>
          <w:szCs w:val="28"/>
          <w:lang w:eastAsia="ru-RU"/>
        </w:rPr>
        <w:tab/>
        <w:t>встановлення внутрішніх та зовнішніх інтеграційних зв’язків;</w:t>
      </w:r>
    </w:p>
    <w:p w:rsidR="000179FA" w:rsidRDefault="000179FA" w:rsidP="00104F26">
      <w:pPr>
        <w:tabs>
          <w:tab w:val="left" w:pos="567"/>
        </w:tabs>
        <w:spacing w:after="0" w:line="240" w:lineRule="auto"/>
        <w:ind w:firstLine="357"/>
        <w:jc w:val="both"/>
        <w:rPr>
          <w:rFonts w:ascii="Times New Roman" w:hAnsi="Times New Roman"/>
          <w:sz w:val="28"/>
          <w:szCs w:val="28"/>
          <w:lang w:eastAsia="ru-RU"/>
        </w:rPr>
      </w:pPr>
      <w:r>
        <w:rPr>
          <w:rFonts w:ascii="Times New Roman" w:hAnsi="Times New Roman"/>
          <w:sz w:val="28"/>
          <w:szCs w:val="28"/>
          <w:lang w:eastAsia="ru-RU"/>
        </w:rPr>
        <w:tab/>
        <w:t>гармонізація освітніх стандартів вищих навчальних закладів-партнерів.</w:t>
      </w:r>
    </w:p>
    <w:p w:rsidR="000179FA" w:rsidRDefault="000179FA" w:rsidP="00104F26">
      <w:pPr>
        <w:tabs>
          <w:tab w:val="left" w:pos="1276"/>
        </w:tabs>
        <w:spacing w:after="0" w:line="240" w:lineRule="auto"/>
        <w:ind w:firstLine="357"/>
        <w:jc w:val="both"/>
        <w:rPr>
          <w:rFonts w:ascii="Times New Roman" w:hAnsi="Times New Roman"/>
          <w:sz w:val="28"/>
          <w:szCs w:val="28"/>
          <w:lang w:eastAsia="ru-RU"/>
        </w:rPr>
      </w:pPr>
      <w:r>
        <w:rPr>
          <w:rFonts w:ascii="Times New Roman" w:hAnsi="Times New Roman"/>
          <w:sz w:val="28"/>
          <w:szCs w:val="28"/>
          <w:lang w:eastAsia="ru-RU"/>
        </w:rPr>
        <w:t>2. Основними завданнями академічної мобільності учасників освітнього процесу ХДУ є :</w:t>
      </w:r>
    </w:p>
    <w:p w:rsidR="000179FA" w:rsidRDefault="000179FA" w:rsidP="00104F26">
      <w:pPr>
        <w:spacing w:after="0" w:line="240" w:lineRule="auto"/>
        <w:ind w:firstLine="357"/>
        <w:jc w:val="both"/>
        <w:rPr>
          <w:rFonts w:ascii="Times New Roman" w:hAnsi="Times New Roman"/>
          <w:sz w:val="28"/>
          <w:szCs w:val="28"/>
          <w:lang w:eastAsia="ru-RU"/>
        </w:rPr>
      </w:pPr>
      <w:r>
        <w:rPr>
          <w:rFonts w:ascii="Times New Roman" w:hAnsi="Times New Roman"/>
          <w:sz w:val="28"/>
          <w:szCs w:val="28"/>
          <w:lang w:eastAsia="ru-RU"/>
        </w:rPr>
        <w:t xml:space="preserve">підвищення рівня теоретичної та практичної підготовки, проведення досліджень з використанням сучасного обладнання і технологій, опанування новітніми методами дослідження, набуття досвіду проведення науково-дослідної роботи та впровадження її результатів; </w:t>
      </w:r>
    </w:p>
    <w:p w:rsidR="000179FA" w:rsidRDefault="000179FA" w:rsidP="00104F26">
      <w:pPr>
        <w:spacing w:after="0" w:line="240" w:lineRule="auto"/>
        <w:ind w:firstLine="357"/>
        <w:jc w:val="both"/>
        <w:rPr>
          <w:rFonts w:ascii="Times New Roman" w:hAnsi="Times New Roman"/>
          <w:sz w:val="28"/>
          <w:szCs w:val="28"/>
          <w:lang w:eastAsia="ru-RU"/>
        </w:rPr>
      </w:pPr>
      <w:r>
        <w:rPr>
          <w:rFonts w:ascii="Times New Roman" w:hAnsi="Times New Roman"/>
          <w:sz w:val="28"/>
          <w:szCs w:val="28"/>
          <w:lang w:eastAsia="ru-RU"/>
        </w:rPr>
        <w:t xml:space="preserve">здійснення наукових досліджень, обмін досвідом викладацької діяльності, вдосконалення професійного досвіду за науковою спеціальністю </w:t>
      </w:r>
    </w:p>
    <w:p w:rsidR="000179FA" w:rsidRDefault="000179FA" w:rsidP="00104F26">
      <w:pPr>
        <w:spacing w:after="0" w:line="240" w:lineRule="auto"/>
        <w:ind w:firstLine="357"/>
        <w:jc w:val="both"/>
        <w:rPr>
          <w:rFonts w:ascii="Times New Roman" w:hAnsi="Times New Roman"/>
          <w:sz w:val="28"/>
          <w:szCs w:val="28"/>
          <w:lang w:eastAsia="ru-RU"/>
        </w:rPr>
      </w:pPr>
      <w:r>
        <w:rPr>
          <w:rFonts w:ascii="Times New Roman" w:hAnsi="Times New Roman"/>
          <w:sz w:val="28"/>
          <w:szCs w:val="28"/>
          <w:lang w:eastAsia="ru-RU"/>
        </w:rPr>
        <w:t>набуття професійного досвіду під час проходження навчальних та виробничих практик;</w:t>
      </w:r>
    </w:p>
    <w:p w:rsidR="000179FA" w:rsidRDefault="000179FA" w:rsidP="00104F26">
      <w:pPr>
        <w:spacing w:after="0" w:line="240" w:lineRule="auto"/>
        <w:ind w:firstLine="357"/>
        <w:jc w:val="both"/>
        <w:rPr>
          <w:rFonts w:ascii="Times New Roman" w:hAnsi="Times New Roman"/>
          <w:sz w:val="28"/>
          <w:szCs w:val="28"/>
          <w:lang w:eastAsia="ru-RU"/>
        </w:rPr>
      </w:pPr>
      <w:r>
        <w:rPr>
          <w:rFonts w:ascii="Times New Roman" w:hAnsi="Times New Roman"/>
          <w:sz w:val="28"/>
          <w:szCs w:val="28"/>
          <w:lang w:eastAsia="ru-RU"/>
        </w:rPr>
        <w:t>можливість одночасного отримання студентом двох документів про вищу освіту з додатками встановленого у вищих навчальних закладах-партнерах зразка та інформацією про систему оцінювання в них навчальних здобутків студентів;</w:t>
      </w:r>
    </w:p>
    <w:p w:rsidR="000179FA" w:rsidRDefault="000179FA" w:rsidP="00104F26">
      <w:pPr>
        <w:spacing w:after="0" w:line="240" w:lineRule="auto"/>
        <w:ind w:firstLine="357"/>
        <w:jc w:val="both"/>
        <w:rPr>
          <w:rFonts w:ascii="Times New Roman" w:hAnsi="Times New Roman"/>
          <w:sz w:val="28"/>
          <w:szCs w:val="28"/>
          <w:lang w:eastAsia="ru-RU"/>
        </w:rPr>
      </w:pPr>
      <w:r>
        <w:rPr>
          <w:rFonts w:ascii="Times New Roman" w:hAnsi="Times New Roman"/>
          <w:sz w:val="28"/>
          <w:szCs w:val="28"/>
          <w:lang w:eastAsia="ru-RU"/>
        </w:rPr>
        <w:t>підвищення рівня володіння іноземними мовами;</w:t>
      </w:r>
    </w:p>
    <w:p w:rsidR="000179FA" w:rsidRDefault="000179FA" w:rsidP="00104F26">
      <w:pPr>
        <w:spacing w:after="0" w:line="240" w:lineRule="auto"/>
        <w:ind w:firstLine="357"/>
        <w:jc w:val="both"/>
        <w:rPr>
          <w:rFonts w:ascii="Times New Roman" w:hAnsi="Times New Roman"/>
          <w:sz w:val="28"/>
          <w:szCs w:val="28"/>
          <w:lang w:eastAsia="ru-RU"/>
        </w:rPr>
      </w:pPr>
      <w:r>
        <w:rPr>
          <w:rFonts w:ascii="Times New Roman" w:hAnsi="Times New Roman"/>
          <w:sz w:val="28"/>
          <w:szCs w:val="28"/>
          <w:lang w:eastAsia="ru-RU"/>
        </w:rPr>
        <w:t>посилення інтеграції освіти і науки, розвиток подальших наукових досліджень, поглиблення знань національних культур інших країн, а також поширення знань про мову, культуру, освіту і науку України;</w:t>
      </w:r>
    </w:p>
    <w:p w:rsidR="000179FA" w:rsidRDefault="000179FA" w:rsidP="00104F26">
      <w:pPr>
        <w:spacing w:after="0" w:line="240" w:lineRule="auto"/>
        <w:ind w:firstLine="357"/>
        <w:jc w:val="both"/>
        <w:rPr>
          <w:rFonts w:ascii="Times New Roman" w:hAnsi="Times New Roman"/>
          <w:sz w:val="28"/>
          <w:szCs w:val="28"/>
          <w:lang w:eastAsia="ru-RU"/>
        </w:rPr>
      </w:pPr>
      <w:r>
        <w:rPr>
          <w:rFonts w:ascii="Times New Roman" w:hAnsi="Times New Roman"/>
          <w:sz w:val="28"/>
          <w:szCs w:val="28"/>
          <w:lang w:eastAsia="ru-RU"/>
        </w:rPr>
        <w:t>підтримка соціальних, економічних, культурних, політичних взаємовідносин  та зв’я</w:t>
      </w:r>
      <w:bookmarkStart w:id="0" w:name="_GoBack"/>
      <w:bookmarkEnd w:id="0"/>
      <w:r>
        <w:rPr>
          <w:rFonts w:ascii="Times New Roman" w:hAnsi="Times New Roman"/>
          <w:sz w:val="28"/>
          <w:szCs w:val="28"/>
          <w:lang w:eastAsia="ru-RU"/>
        </w:rPr>
        <w:t>зків з іншими країнами</w:t>
      </w:r>
    </w:p>
    <w:p w:rsidR="000179FA" w:rsidRDefault="000179FA" w:rsidP="00104F26">
      <w:pPr>
        <w:spacing w:after="0" w:line="240" w:lineRule="auto"/>
        <w:ind w:firstLine="357"/>
        <w:jc w:val="both"/>
        <w:rPr>
          <w:rFonts w:ascii="Times New Roman" w:hAnsi="Times New Roman"/>
          <w:sz w:val="28"/>
          <w:szCs w:val="28"/>
          <w:lang w:eastAsia="ru-RU"/>
        </w:rPr>
      </w:pPr>
    </w:p>
    <w:p w:rsidR="000179FA" w:rsidRDefault="000179FA" w:rsidP="00104F26">
      <w:pPr>
        <w:spacing w:after="0" w:line="240" w:lineRule="auto"/>
        <w:ind w:firstLine="357"/>
        <w:jc w:val="center"/>
        <w:rPr>
          <w:rFonts w:ascii="Times New Roman" w:hAnsi="Times New Roman"/>
          <w:sz w:val="28"/>
          <w:szCs w:val="28"/>
          <w:lang w:eastAsia="ru-RU"/>
        </w:rPr>
      </w:pPr>
      <w:r>
        <w:rPr>
          <w:rFonts w:ascii="Times New Roman" w:hAnsi="Times New Roman"/>
          <w:sz w:val="28"/>
          <w:szCs w:val="28"/>
          <w:lang w:eastAsia="ru-RU"/>
        </w:rPr>
        <w:t>3. НОРМАТИВНО-ПРАВОВА БАЗА ПРОГРАМ АКАДЕМІЧНОЇ МОБІЛЬНОСТІ ЗДОБУВАЧІВ ВИЩОЇ ОСВІТИ</w:t>
      </w:r>
    </w:p>
    <w:p w:rsidR="000179FA" w:rsidRDefault="000179FA" w:rsidP="00104F26">
      <w:pPr>
        <w:spacing w:after="0" w:line="240" w:lineRule="auto"/>
        <w:ind w:firstLine="357"/>
        <w:jc w:val="both"/>
        <w:rPr>
          <w:rFonts w:ascii="Times New Roman" w:hAnsi="Times New Roman"/>
          <w:sz w:val="28"/>
          <w:szCs w:val="28"/>
          <w:lang w:eastAsia="ru-RU"/>
        </w:rPr>
      </w:pPr>
    </w:p>
    <w:p w:rsidR="000179FA" w:rsidRDefault="000179FA" w:rsidP="00104F26">
      <w:pPr>
        <w:pStyle w:val="ListParagraph"/>
        <w:numPr>
          <w:ilvl w:val="0"/>
          <w:numId w:val="5"/>
        </w:numPr>
        <w:tabs>
          <w:tab w:val="num" w:pos="0"/>
        </w:tabs>
        <w:spacing w:after="0" w:line="240" w:lineRule="auto"/>
        <w:jc w:val="both"/>
        <w:rPr>
          <w:rFonts w:ascii="Times New Roman" w:hAnsi="Times New Roman"/>
          <w:sz w:val="28"/>
          <w:szCs w:val="28"/>
          <w:lang w:eastAsia="ru-RU"/>
        </w:rPr>
      </w:pPr>
      <w:r>
        <w:rPr>
          <w:rFonts w:ascii="Times New Roman" w:hAnsi="Times New Roman"/>
          <w:sz w:val="28"/>
          <w:szCs w:val="28"/>
          <w:lang w:eastAsia="ru-RU"/>
        </w:rPr>
        <w:t>Це Положення розроблено відповідно до:</w:t>
      </w:r>
    </w:p>
    <w:p w:rsidR="000179FA" w:rsidRDefault="000179FA" w:rsidP="00104F26">
      <w:pPr>
        <w:tabs>
          <w:tab w:val="num" w:pos="567"/>
        </w:tabs>
        <w:spacing w:after="0" w:line="240" w:lineRule="auto"/>
        <w:ind w:firstLine="357"/>
        <w:jc w:val="both"/>
        <w:rPr>
          <w:rFonts w:ascii="Times New Roman" w:hAnsi="Times New Roman"/>
          <w:sz w:val="28"/>
          <w:szCs w:val="28"/>
          <w:lang w:eastAsia="ru-RU"/>
        </w:rPr>
      </w:pPr>
      <w:r>
        <w:rPr>
          <w:rFonts w:ascii="Times New Roman" w:hAnsi="Times New Roman"/>
          <w:sz w:val="28"/>
          <w:szCs w:val="28"/>
          <w:lang w:eastAsia="ru-RU"/>
        </w:rPr>
        <w:t xml:space="preserve">Закону України «Про вищу освіту»; </w:t>
      </w:r>
    </w:p>
    <w:p w:rsidR="000179FA" w:rsidRDefault="000179FA" w:rsidP="00104F26">
      <w:pPr>
        <w:tabs>
          <w:tab w:val="num" w:pos="567"/>
        </w:tabs>
        <w:spacing w:after="0" w:line="240" w:lineRule="auto"/>
        <w:ind w:firstLine="357"/>
        <w:jc w:val="both"/>
        <w:rPr>
          <w:rFonts w:ascii="Times New Roman" w:hAnsi="Times New Roman"/>
          <w:sz w:val="28"/>
          <w:szCs w:val="28"/>
          <w:lang w:eastAsia="ru-RU"/>
        </w:rPr>
      </w:pPr>
      <w:r>
        <w:rPr>
          <w:rFonts w:ascii="Times New Roman" w:hAnsi="Times New Roman"/>
          <w:sz w:val="28"/>
          <w:szCs w:val="28"/>
          <w:lang w:eastAsia="ru-RU"/>
        </w:rPr>
        <w:t xml:space="preserve">Закону України «Про освіту»; </w:t>
      </w:r>
    </w:p>
    <w:p w:rsidR="000179FA" w:rsidRDefault="000179FA" w:rsidP="00104F26">
      <w:pPr>
        <w:tabs>
          <w:tab w:val="num" w:pos="567"/>
        </w:tabs>
        <w:spacing w:after="0" w:line="240" w:lineRule="auto"/>
        <w:ind w:firstLine="357"/>
        <w:jc w:val="both"/>
        <w:rPr>
          <w:rFonts w:ascii="Times New Roman" w:hAnsi="Times New Roman"/>
          <w:sz w:val="28"/>
          <w:szCs w:val="28"/>
          <w:lang w:eastAsia="ru-RU"/>
        </w:rPr>
      </w:pPr>
      <w:r>
        <w:rPr>
          <w:rFonts w:ascii="Times New Roman" w:hAnsi="Times New Roman"/>
          <w:sz w:val="28"/>
          <w:szCs w:val="28"/>
          <w:lang w:eastAsia="ru-RU"/>
        </w:rPr>
        <w:t xml:space="preserve">Закону України «Про правовий статус іноземців та осіб без громадянства» (із змінами); </w:t>
      </w:r>
    </w:p>
    <w:p w:rsidR="000179FA" w:rsidRDefault="000179FA" w:rsidP="00104F26">
      <w:pPr>
        <w:tabs>
          <w:tab w:val="num" w:pos="567"/>
        </w:tabs>
        <w:spacing w:after="0" w:line="240" w:lineRule="auto"/>
        <w:ind w:firstLine="357"/>
        <w:jc w:val="both"/>
        <w:rPr>
          <w:rFonts w:ascii="Times New Roman" w:hAnsi="Times New Roman"/>
          <w:sz w:val="28"/>
          <w:szCs w:val="28"/>
          <w:lang w:eastAsia="ru-RU"/>
        </w:rPr>
      </w:pPr>
      <w:r>
        <w:rPr>
          <w:rFonts w:ascii="Times New Roman" w:hAnsi="Times New Roman"/>
          <w:sz w:val="28"/>
          <w:szCs w:val="28"/>
          <w:lang w:eastAsia="ru-RU"/>
        </w:rPr>
        <w:t>Постанови Кабінету Міністрів України від 13 квітня 2011 р. № 411 «Питання навчання студентів та аспірантів, стажування наукових і науково-педагогічних працівників у провідних вищих навчальних закладах та наукових установах за кордоном»;</w:t>
      </w:r>
    </w:p>
    <w:p w:rsidR="000179FA" w:rsidRDefault="000179FA" w:rsidP="00104F26">
      <w:pPr>
        <w:tabs>
          <w:tab w:val="num" w:pos="567"/>
        </w:tabs>
        <w:spacing w:after="0" w:line="240" w:lineRule="auto"/>
        <w:ind w:firstLine="357"/>
        <w:jc w:val="both"/>
        <w:rPr>
          <w:rFonts w:ascii="Times New Roman" w:hAnsi="Times New Roman"/>
          <w:sz w:val="28"/>
          <w:szCs w:val="28"/>
          <w:lang w:eastAsia="ru-RU"/>
        </w:rPr>
      </w:pPr>
      <w:r>
        <w:rPr>
          <w:rFonts w:ascii="Times New Roman" w:hAnsi="Times New Roman"/>
          <w:sz w:val="28"/>
          <w:szCs w:val="28"/>
          <w:lang w:eastAsia="ru-RU"/>
        </w:rPr>
        <w:t>Постанови Кабінету Міністрів України від 12 серпня 2015 р. № 579 «Про затвердження Положення про порядок реалізації права на академічну мобільність»</w:t>
      </w:r>
    </w:p>
    <w:p w:rsidR="000179FA" w:rsidRDefault="000179FA" w:rsidP="00104F26">
      <w:pPr>
        <w:spacing w:after="0" w:line="240" w:lineRule="auto"/>
        <w:ind w:firstLine="357"/>
        <w:jc w:val="both"/>
        <w:rPr>
          <w:rFonts w:ascii="Times New Roman" w:hAnsi="Times New Roman"/>
          <w:sz w:val="28"/>
          <w:szCs w:val="28"/>
          <w:lang w:eastAsia="ru-RU"/>
        </w:rPr>
      </w:pPr>
      <w:r>
        <w:rPr>
          <w:rFonts w:ascii="Times New Roman" w:hAnsi="Times New Roman"/>
          <w:sz w:val="28"/>
          <w:szCs w:val="28"/>
          <w:lang w:eastAsia="ru-RU"/>
        </w:rPr>
        <w:t>Наказу Міністерства освіти і науки України від 29 травня 2013 р. № 635 «Щодо затвердження Примірного положення про академічну мобільність студентів вищих навчальних закладів України»;</w:t>
      </w:r>
    </w:p>
    <w:p w:rsidR="000179FA" w:rsidRDefault="000179FA" w:rsidP="00104F26">
      <w:pPr>
        <w:tabs>
          <w:tab w:val="left" w:pos="0"/>
        </w:tabs>
        <w:spacing w:after="0" w:line="240" w:lineRule="auto"/>
        <w:ind w:firstLine="357"/>
        <w:jc w:val="both"/>
        <w:rPr>
          <w:rFonts w:ascii="Times New Roman" w:hAnsi="Times New Roman"/>
          <w:sz w:val="28"/>
          <w:szCs w:val="28"/>
          <w:lang w:eastAsia="ru-RU"/>
        </w:rPr>
      </w:pPr>
      <w:r>
        <w:rPr>
          <w:rFonts w:ascii="Times New Roman" w:hAnsi="Times New Roman"/>
          <w:sz w:val="28"/>
          <w:szCs w:val="28"/>
          <w:lang w:eastAsia="ru-RU"/>
        </w:rPr>
        <w:t>Інших нормативно-правових актів в галузі вищої освіти.</w:t>
      </w:r>
    </w:p>
    <w:p w:rsidR="000179FA" w:rsidRDefault="000179FA" w:rsidP="00104F26">
      <w:pPr>
        <w:spacing w:after="0" w:line="240" w:lineRule="auto"/>
        <w:ind w:firstLine="357"/>
        <w:jc w:val="both"/>
        <w:textAlignment w:val="top"/>
        <w:rPr>
          <w:rFonts w:ascii="Times New Roman" w:hAnsi="Times New Roman"/>
          <w:sz w:val="28"/>
          <w:szCs w:val="28"/>
          <w:lang w:eastAsia="uk-UA"/>
        </w:rPr>
      </w:pPr>
    </w:p>
    <w:p w:rsidR="000179FA" w:rsidRDefault="000179FA" w:rsidP="00104F26">
      <w:pPr>
        <w:spacing w:after="0" w:line="240" w:lineRule="auto"/>
        <w:ind w:firstLine="357"/>
        <w:jc w:val="center"/>
        <w:textAlignment w:val="top"/>
        <w:rPr>
          <w:rFonts w:ascii="Times New Roman" w:hAnsi="Times New Roman"/>
          <w:sz w:val="28"/>
          <w:szCs w:val="28"/>
          <w:lang w:eastAsia="uk-UA"/>
        </w:rPr>
      </w:pPr>
      <w:r>
        <w:rPr>
          <w:rFonts w:ascii="Times New Roman" w:hAnsi="Times New Roman"/>
          <w:sz w:val="28"/>
          <w:szCs w:val="28"/>
          <w:lang w:eastAsia="uk-UA"/>
        </w:rPr>
        <w:t>4. ОРГАНІЗАЦІЙНЕ ЗАБЕЗПЕЧЕННЯ АКАДЕМІЧНОЇ МОБІЛЬНОСТІ</w:t>
      </w:r>
    </w:p>
    <w:p w:rsidR="000179FA" w:rsidRDefault="000179FA" w:rsidP="00104F26">
      <w:pPr>
        <w:tabs>
          <w:tab w:val="left" w:pos="0"/>
        </w:tabs>
        <w:spacing w:after="0" w:line="240" w:lineRule="auto"/>
        <w:ind w:firstLine="357"/>
        <w:jc w:val="both"/>
        <w:rPr>
          <w:rFonts w:ascii="Times New Roman" w:hAnsi="Times New Roman"/>
          <w:sz w:val="28"/>
          <w:szCs w:val="28"/>
          <w:lang w:eastAsia="ru-RU"/>
        </w:rPr>
      </w:pPr>
    </w:p>
    <w:p w:rsidR="000179FA" w:rsidRDefault="000179FA" w:rsidP="00104F26">
      <w:pPr>
        <w:tabs>
          <w:tab w:val="left" w:pos="1134"/>
          <w:tab w:val="left" w:pos="1418"/>
        </w:tabs>
        <w:spacing w:after="0" w:line="240" w:lineRule="auto"/>
        <w:ind w:firstLine="357"/>
        <w:jc w:val="both"/>
        <w:textAlignment w:val="top"/>
        <w:rPr>
          <w:rFonts w:ascii="Times New Roman" w:hAnsi="Times New Roman"/>
          <w:sz w:val="28"/>
          <w:szCs w:val="28"/>
          <w:lang w:eastAsia="uk-UA"/>
        </w:rPr>
      </w:pPr>
      <w:r>
        <w:rPr>
          <w:rFonts w:ascii="Times New Roman" w:hAnsi="Times New Roman"/>
          <w:sz w:val="28"/>
          <w:szCs w:val="28"/>
          <w:lang w:eastAsia="ru-RU"/>
        </w:rPr>
        <w:t>1. До участі у програмах академічної мобільності допускаються здобувачі вищої освіти, починаючи з другого курсу рівня вищої освіти «бакалавр».</w:t>
      </w:r>
      <w:r>
        <w:rPr>
          <w:rFonts w:ascii="Times New Roman" w:hAnsi="Times New Roman"/>
          <w:sz w:val="28"/>
          <w:szCs w:val="28"/>
          <w:lang w:eastAsia="uk-UA"/>
        </w:rPr>
        <w:t xml:space="preserve"> </w:t>
      </w:r>
    </w:p>
    <w:p w:rsidR="000179FA" w:rsidRDefault="000179FA" w:rsidP="00104F26">
      <w:pPr>
        <w:spacing w:after="0" w:line="240" w:lineRule="auto"/>
        <w:ind w:firstLine="357"/>
        <w:jc w:val="both"/>
        <w:textAlignment w:val="top"/>
        <w:rPr>
          <w:rFonts w:ascii="Times New Roman" w:hAnsi="Times New Roman"/>
          <w:sz w:val="28"/>
          <w:szCs w:val="28"/>
          <w:lang w:eastAsia="uk-UA"/>
        </w:rPr>
      </w:pPr>
      <w:r>
        <w:rPr>
          <w:rFonts w:ascii="Times New Roman" w:hAnsi="Times New Roman"/>
          <w:sz w:val="28"/>
          <w:szCs w:val="28"/>
          <w:lang w:eastAsia="uk-UA"/>
        </w:rPr>
        <w:t xml:space="preserve">2. Відбір студентів для участі в програмах академічної мобільності здійснюється конкурсною комісією ХДУ з урахуванням рейтингу успішності, участі у науковій роботі та знання іноземної мови. </w:t>
      </w:r>
    </w:p>
    <w:p w:rsidR="000179FA" w:rsidRDefault="000179FA" w:rsidP="00104F26">
      <w:pPr>
        <w:spacing w:after="0" w:line="240" w:lineRule="auto"/>
        <w:ind w:firstLine="357"/>
        <w:jc w:val="both"/>
        <w:textAlignment w:val="top"/>
        <w:rPr>
          <w:rFonts w:ascii="Times New Roman" w:hAnsi="Times New Roman"/>
          <w:sz w:val="28"/>
          <w:szCs w:val="28"/>
          <w:lang w:eastAsia="uk-UA"/>
        </w:rPr>
      </w:pPr>
      <w:r>
        <w:rPr>
          <w:rFonts w:ascii="Times New Roman" w:hAnsi="Times New Roman"/>
          <w:sz w:val="28"/>
          <w:szCs w:val="28"/>
          <w:lang w:eastAsia="uk-UA"/>
        </w:rPr>
        <w:t xml:space="preserve">Конкурсну комісію очолює ректор ХДУ або проректор за відповідним напрямком діяльності. </w:t>
      </w:r>
    </w:p>
    <w:p w:rsidR="000179FA" w:rsidRDefault="000179FA" w:rsidP="00104F26">
      <w:pPr>
        <w:spacing w:after="0" w:line="240" w:lineRule="auto"/>
        <w:ind w:firstLine="357"/>
        <w:jc w:val="both"/>
        <w:textAlignment w:val="top"/>
        <w:rPr>
          <w:rFonts w:ascii="Times New Roman" w:hAnsi="Times New Roman"/>
          <w:sz w:val="28"/>
          <w:szCs w:val="28"/>
          <w:lang w:eastAsia="uk-UA"/>
        </w:rPr>
      </w:pPr>
      <w:r>
        <w:rPr>
          <w:rFonts w:ascii="Times New Roman" w:hAnsi="Times New Roman"/>
          <w:sz w:val="28"/>
          <w:szCs w:val="28"/>
          <w:lang w:eastAsia="uk-UA"/>
        </w:rPr>
        <w:t>Склад конкурсної комісії визначає та затверджує ректор ХДУ за умови обов'язкової участі в її роботі представників органів студентського самоврядування.</w:t>
      </w:r>
    </w:p>
    <w:p w:rsidR="000179FA" w:rsidRDefault="000179FA" w:rsidP="00104F26">
      <w:pPr>
        <w:spacing w:after="0" w:line="240" w:lineRule="auto"/>
        <w:ind w:firstLine="357"/>
        <w:jc w:val="both"/>
        <w:rPr>
          <w:rFonts w:ascii="Times New Roman" w:hAnsi="Times New Roman"/>
          <w:sz w:val="28"/>
          <w:szCs w:val="28"/>
          <w:lang w:eastAsia="ru-RU"/>
        </w:rPr>
      </w:pPr>
      <w:r>
        <w:rPr>
          <w:rFonts w:ascii="Times New Roman" w:hAnsi="Times New Roman"/>
          <w:sz w:val="28"/>
          <w:szCs w:val="28"/>
          <w:lang w:eastAsia="ru-RU"/>
        </w:rPr>
        <w:t>У випадку, якщо здобувач вищої освіти бере участь у міжнародній програмі академічної мобільності, конкурсний відбір здійснюється організацією, яка надає студенту грант на умовах і за критеріями, визначеними в установчих документах конкурсу.</w:t>
      </w:r>
    </w:p>
    <w:p w:rsidR="000179FA" w:rsidRDefault="000179FA" w:rsidP="00104F26">
      <w:pPr>
        <w:spacing w:after="0" w:line="240" w:lineRule="auto"/>
        <w:ind w:firstLine="357"/>
        <w:jc w:val="both"/>
        <w:rPr>
          <w:rFonts w:ascii="Times New Roman" w:hAnsi="Times New Roman"/>
          <w:sz w:val="28"/>
          <w:szCs w:val="28"/>
          <w:lang w:eastAsia="uk-UA"/>
        </w:rPr>
      </w:pPr>
      <w:r>
        <w:rPr>
          <w:rFonts w:ascii="Times New Roman" w:hAnsi="Times New Roman"/>
          <w:sz w:val="28"/>
          <w:szCs w:val="28"/>
          <w:lang w:eastAsia="uk-UA"/>
        </w:rPr>
        <w:t>3. Іноземні здобувачі вищої освіти, що реалізують право на академічну мобільність в рамках договорів про співробітництво між вітчизняними та іноземними вищими навчальними закладами (науковими установами) — партнерами, можуть бути зараховані на навчання до вітчизняних вищих навчальних закладів:</w:t>
      </w:r>
    </w:p>
    <w:p w:rsidR="000179FA" w:rsidRDefault="000179FA" w:rsidP="00104F26">
      <w:pPr>
        <w:spacing w:after="0" w:line="240" w:lineRule="auto"/>
        <w:ind w:firstLine="357"/>
        <w:jc w:val="both"/>
        <w:rPr>
          <w:rFonts w:ascii="Times New Roman" w:hAnsi="Times New Roman"/>
          <w:sz w:val="28"/>
          <w:szCs w:val="28"/>
          <w:lang w:eastAsia="uk-UA"/>
        </w:rPr>
      </w:pPr>
      <w:r>
        <w:rPr>
          <w:rFonts w:ascii="Times New Roman" w:hAnsi="Times New Roman"/>
          <w:sz w:val="28"/>
          <w:szCs w:val="28"/>
          <w:lang w:eastAsia="uk-UA"/>
        </w:rPr>
        <w:t>за рахунок коштів міжнародних програм та організацій;</w:t>
      </w:r>
    </w:p>
    <w:p w:rsidR="000179FA" w:rsidRDefault="000179FA" w:rsidP="00104F26">
      <w:pPr>
        <w:spacing w:after="0" w:line="240" w:lineRule="auto"/>
        <w:ind w:firstLine="357"/>
        <w:jc w:val="both"/>
        <w:rPr>
          <w:rFonts w:ascii="Times New Roman" w:hAnsi="Times New Roman"/>
          <w:sz w:val="28"/>
          <w:szCs w:val="28"/>
          <w:lang w:eastAsia="uk-UA"/>
        </w:rPr>
      </w:pPr>
      <w:r>
        <w:rPr>
          <w:rFonts w:ascii="Times New Roman" w:hAnsi="Times New Roman"/>
          <w:sz w:val="28"/>
          <w:szCs w:val="28"/>
          <w:lang w:eastAsia="uk-UA"/>
        </w:rPr>
        <w:t>за рахунок власних надходжень вищих навчальних закладів;</w:t>
      </w:r>
    </w:p>
    <w:p w:rsidR="000179FA" w:rsidRDefault="000179FA" w:rsidP="00104F26">
      <w:pPr>
        <w:spacing w:after="0" w:line="240" w:lineRule="auto"/>
        <w:ind w:firstLine="357"/>
        <w:jc w:val="both"/>
        <w:rPr>
          <w:rFonts w:ascii="Times New Roman" w:hAnsi="Times New Roman"/>
          <w:sz w:val="28"/>
          <w:szCs w:val="28"/>
          <w:lang w:eastAsia="uk-UA"/>
        </w:rPr>
      </w:pPr>
      <w:r>
        <w:rPr>
          <w:rFonts w:ascii="Times New Roman" w:hAnsi="Times New Roman"/>
          <w:sz w:val="28"/>
          <w:szCs w:val="28"/>
          <w:lang w:eastAsia="uk-UA"/>
        </w:rPr>
        <w:t>за рахунок коштів фізичних або юридичних осіб;</w:t>
      </w:r>
    </w:p>
    <w:p w:rsidR="000179FA" w:rsidRDefault="000179FA" w:rsidP="00104F26">
      <w:pPr>
        <w:spacing w:after="0" w:line="240" w:lineRule="auto"/>
        <w:ind w:firstLine="357"/>
        <w:jc w:val="both"/>
        <w:rPr>
          <w:rFonts w:ascii="Times New Roman" w:hAnsi="Times New Roman"/>
          <w:sz w:val="28"/>
          <w:szCs w:val="28"/>
          <w:lang w:eastAsia="uk-UA"/>
        </w:rPr>
      </w:pPr>
      <w:r>
        <w:rPr>
          <w:rFonts w:ascii="Times New Roman" w:hAnsi="Times New Roman"/>
          <w:sz w:val="28"/>
          <w:szCs w:val="28"/>
          <w:lang w:eastAsia="uk-UA"/>
        </w:rPr>
        <w:t>на умовах безоплатного навчання у разі взаємного обміну здобувачами вищої освіти, в тому числі за спільними освітніми програмами, які передбачають отримання спільного або подвійного документа (документів) про вищу освіту на умовах безоплатного навчання у разі міжнародного обміну здобувачами вищої освіти, якщо кількість таких іноземних здобувачів вищої освіти не перевищує кількість вітчизняних здобувачів вищої освіти, які навчаються в іноземному вищому навчальному закладі — партнері в межах програм академічної мобільності відповідно до укладених між вищими навчальними закладами договорів про міжнародну академічну мобільність.</w:t>
      </w:r>
    </w:p>
    <w:p w:rsidR="000179FA" w:rsidRDefault="000179FA" w:rsidP="00104F26">
      <w:pPr>
        <w:spacing w:after="0" w:line="240" w:lineRule="auto"/>
        <w:ind w:firstLine="357"/>
        <w:jc w:val="both"/>
        <w:rPr>
          <w:rFonts w:ascii="Times New Roman" w:hAnsi="Times New Roman"/>
          <w:sz w:val="28"/>
          <w:szCs w:val="28"/>
          <w:lang w:eastAsia="uk-UA"/>
        </w:rPr>
      </w:pPr>
    </w:p>
    <w:p w:rsidR="000179FA" w:rsidRDefault="000179FA" w:rsidP="00104F26">
      <w:pPr>
        <w:spacing w:after="0" w:line="240" w:lineRule="auto"/>
        <w:ind w:firstLine="357"/>
        <w:jc w:val="both"/>
        <w:textAlignment w:val="top"/>
        <w:rPr>
          <w:rFonts w:ascii="Times New Roman" w:hAnsi="Times New Roman"/>
          <w:sz w:val="28"/>
          <w:szCs w:val="28"/>
          <w:lang w:eastAsia="uk-UA"/>
        </w:rPr>
      </w:pPr>
      <w:r>
        <w:rPr>
          <w:rFonts w:ascii="Times New Roman" w:hAnsi="Times New Roman"/>
          <w:sz w:val="28"/>
          <w:szCs w:val="28"/>
          <w:lang w:eastAsia="ru-RU"/>
        </w:rPr>
        <w:t>5. ВИЗНАННЯ ТА ПЕРЕЗАРАХУВАННЯ РЕЗУЛЬТАТІВ НАВЧАННЯ У ВИЩОМУ НАВЧАЛЬНОМУ ЗАКЛАДІ-ПАРТНЕРІ</w:t>
      </w:r>
    </w:p>
    <w:p w:rsidR="000179FA" w:rsidRDefault="000179FA" w:rsidP="00104F26">
      <w:pPr>
        <w:spacing w:after="0" w:line="240" w:lineRule="auto"/>
        <w:ind w:firstLine="357"/>
        <w:jc w:val="both"/>
        <w:rPr>
          <w:rFonts w:ascii="Times New Roman" w:hAnsi="Times New Roman"/>
          <w:sz w:val="28"/>
          <w:szCs w:val="28"/>
          <w:lang w:eastAsia="ru-RU"/>
        </w:rPr>
      </w:pPr>
    </w:p>
    <w:p w:rsidR="000179FA" w:rsidRDefault="000179FA" w:rsidP="00104F26">
      <w:pPr>
        <w:spacing w:after="0" w:line="240" w:lineRule="auto"/>
        <w:ind w:firstLine="357"/>
        <w:jc w:val="both"/>
        <w:rPr>
          <w:rFonts w:ascii="Times New Roman" w:hAnsi="Times New Roman"/>
          <w:sz w:val="28"/>
          <w:szCs w:val="28"/>
          <w:lang w:eastAsia="ru-RU"/>
        </w:rPr>
      </w:pPr>
      <w:r>
        <w:rPr>
          <w:rFonts w:ascii="Times New Roman" w:hAnsi="Times New Roman"/>
          <w:sz w:val="28"/>
          <w:szCs w:val="28"/>
          <w:lang w:eastAsia="ru-RU"/>
        </w:rPr>
        <w:t>1. ХДУ визнає еквівалентними та перезараховує результати навчання здобувача вищої освіти у вищому навчальному закладі-партнері.</w:t>
      </w:r>
    </w:p>
    <w:p w:rsidR="000179FA" w:rsidRDefault="000179FA" w:rsidP="00104F26">
      <w:pPr>
        <w:spacing w:after="0" w:line="240" w:lineRule="auto"/>
        <w:ind w:firstLine="357"/>
        <w:jc w:val="both"/>
        <w:rPr>
          <w:rFonts w:ascii="Times New Roman" w:hAnsi="Times New Roman"/>
          <w:sz w:val="28"/>
          <w:szCs w:val="28"/>
          <w:lang w:eastAsia="ru-RU"/>
        </w:rPr>
      </w:pPr>
      <w:r>
        <w:rPr>
          <w:rFonts w:ascii="Times New Roman" w:hAnsi="Times New Roman"/>
          <w:sz w:val="28"/>
          <w:szCs w:val="28"/>
          <w:lang w:eastAsia="ru-RU"/>
        </w:rPr>
        <w:t>2. Визнання результатів навчання в рамках академічного співробітництва з вищими навчальними закладами-партнерами здійснюється з використанням європейської системи трансферу та накопичення кредитів ECTS або з використанням системи оцінювання навчальних здобутків, прийнятої у країні вищого навчального закладу-партнера, якщо в ній не передбачено застосування ЕСТS.</w:t>
      </w:r>
    </w:p>
    <w:p w:rsidR="000179FA" w:rsidRDefault="000179FA" w:rsidP="00104F26">
      <w:pPr>
        <w:spacing w:after="0" w:line="240" w:lineRule="auto"/>
        <w:ind w:firstLine="357"/>
        <w:jc w:val="both"/>
        <w:rPr>
          <w:rFonts w:ascii="Times New Roman" w:hAnsi="Times New Roman"/>
          <w:sz w:val="28"/>
          <w:szCs w:val="28"/>
          <w:lang w:eastAsia="ru-RU"/>
        </w:rPr>
      </w:pPr>
      <w:r>
        <w:rPr>
          <w:rFonts w:ascii="Times New Roman" w:hAnsi="Times New Roman"/>
          <w:sz w:val="28"/>
          <w:szCs w:val="28"/>
          <w:lang w:eastAsia="ru-RU"/>
        </w:rPr>
        <w:t>3. Навчальні дисципліни та інші види навчальної діяльності зазначаються в індивідуальному навчальному плані здобувача вищої освіти.</w:t>
      </w:r>
    </w:p>
    <w:p w:rsidR="000179FA" w:rsidRDefault="000179FA" w:rsidP="00104F26">
      <w:pPr>
        <w:spacing w:after="0" w:line="240" w:lineRule="auto"/>
        <w:ind w:firstLine="357"/>
        <w:jc w:val="both"/>
        <w:rPr>
          <w:rFonts w:ascii="Times New Roman" w:hAnsi="Times New Roman"/>
          <w:sz w:val="28"/>
          <w:szCs w:val="28"/>
          <w:lang w:eastAsia="ru-RU"/>
        </w:rPr>
      </w:pPr>
      <w:r>
        <w:rPr>
          <w:rFonts w:ascii="Times New Roman" w:hAnsi="Times New Roman"/>
          <w:sz w:val="28"/>
          <w:szCs w:val="28"/>
          <w:lang w:eastAsia="ru-RU"/>
        </w:rPr>
        <w:t>4. Перезарахування вивчених навчальних дисциплін здійснюється на підставі наданого документа з переліком та результатами вивчення навчальних дисциплін, кількістю кредитів та інформацією про систему оцінювання навчальних здобутків, завіреного в установленому порядку у вищому навчальному закладі-партнері.</w:t>
      </w:r>
    </w:p>
    <w:p w:rsidR="000179FA" w:rsidRDefault="000179FA" w:rsidP="00104F26">
      <w:pPr>
        <w:spacing w:after="0" w:line="240" w:lineRule="auto"/>
        <w:ind w:firstLine="357"/>
        <w:jc w:val="both"/>
        <w:rPr>
          <w:rFonts w:ascii="Times New Roman" w:hAnsi="Times New Roman"/>
          <w:sz w:val="28"/>
          <w:szCs w:val="28"/>
          <w:lang w:eastAsia="ru-RU"/>
        </w:rPr>
      </w:pPr>
      <w:r>
        <w:rPr>
          <w:rFonts w:ascii="Times New Roman" w:hAnsi="Times New Roman"/>
          <w:sz w:val="28"/>
          <w:szCs w:val="28"/>
          <w:lang w:eastAsia="ru-RU"/>
        </w:rPr>
        <w:t>5. Академічна різниця нормативних та вибіркових навчальних дисциплін за індивідуальним навчальним планом визначається ХДУ, але не повинна перевищувати 10 навчальних дисциплін.</w:t>
      </w:r>
    </w:p>
    <w:p w:rsidR="000179FA" w:rsidRDefault="000179FA" w:rsidP="00104F26">
      <w:pPr>
        <w:spacing w:after="0" w:line="240" w:lineRule="auto"/>
        <w:ind w:firstLine="357"/>
        <w:jc w:val="both"/>
        <w:rPr>
          <w:rFonts w:ascii="Times New Roman" w:hAnsi="Times New Roman"/>
          <w:sz w:val="28"/>
          <w:szCs w:val="28"/>
          <w:lang w:eastAsia="ru-RU"/>
        </w:rPr>
      </w:pPr>
      <w:r>
        <w:rPr>
          <w:rFonts w:ascii="Times New Roman" w:hAnsi="Times New Roman"/>
          <w:sz w:val="28"/>
          <w:szCs w:val="28"/>
          <w:lang w:eastAsia="ru-RU"/>
        </w:rPr>
        <w:t xml:space="preserve">Порядок ліквідації академічної різниці визначається вищими навчальними закладами-партнерами відповідно до законодавства. </w:t>
      </w:r>
    </w:p>
    <w:p w:rsidR="000179FA" w:rsidRDefault="000179FA" w:rsidP="00104F26">
      <w:pPr>
        <w:spacing w:after="0" w:line="240" w:lineRule="auto"/>
        <w:ind w:firstLine="357"/>
        <w:jc w:val="both"/>
        <w:rPr>
          <w:rFonts w:ascii="Times New Roman" w:hAnsi="Times New Roman"/>
          <w:sz w:val="28"/>
          <w:szCs w:val="28"/>
          <w:lang w:val="ru-RU" w:eastAsia="ru-RU"/>
        </w:rPr>
      </w:pPr>
      <w:r>
        <w:rPr>
          <w:rFonts w:ascii="Times New Roman" w:hAnsi="Times New Roman"/>
          <w:sz w:val="28"/>
          <w:szCs w:val="28"/>
          <w:lang w:eastAsia="ru-RU"/>
        </w:rPr>
        <w:t>6. Результати підсумкової атестації у період навчання у вищому навчальному закладі-партнері представляються за шкалою, прийнятою у вищому навчальному закладі-партнері і переводяться у шкалу, прийняту у ХДУ.</w:t>
      </w:r>
    </w:p>
    <w:p w:rsidR="000179FA" w:rsidRDefault="000179FA" w:rsidP="00104F26">
      <w:pPr>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Для студентів-учасників програми «Подвійний диплом», студентів, які проходили (проходять) навчання на підставі підписаних ХДУ угод, визнання (зарахування) результатів навчання у ВНЗ-партнерах з дисциплін, що визначені у «Протоколі еквівалентності» або в угоді про академічне співробітництво, здійснюється розпорядженням проректора з навчальної та науково-педагогічної роботи на підставі інформації про результати навчання у ВНЗ-партнері, завіреної в установленому порядку, за поданням декана факультету або координатора Програми.</w:t>
      </w:r>
    </w:p>
    <w:p w:rsidR="000179FA" w:rsidRDefault="000179FA" w:rsidP="00104F26">
      <w:pPr>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При зарахуванні застосовується наступна шкала оцінок у ВНЗ-партнері, сумісна зі шкалою оцінювання ХДУ:</w:t>
      </w:r>
    </w:p>
    <w:p w:rsidR="000179FA" w:rsidRDefault="000179FA" w:rsidP="00104F26">
      <w:pPr>
        <w:spacing w:after="0" w:line="240" w:lineRule="auto"/>
        <w:ind w:firstLine="540"/>
        <w:jc w:val="both"/>
        <w:rPr>
          <w:rFonts w:ascii="Times New Roman" w:hAnsi="Times New Roman"/>
          <w:sz w:val="28"/>
          <w:szCs w:val="28"/>
          <w:lang w:eastAsia="ru-RU"/>
        </w:rPr>
      </w:pPr>
    </w:p>
    <w:tbl>
      <w:tblPr>
        <w:tblW w:w="9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561"/>
        <w:gridCol w:w="1561"/>
        <w:gridCol w:w="846"/>
        <w:gridCol w:w="1441"/>
        <w:gridCol w:w="1621"/>
        <w:gridCol w:w="1562"/>
        <w:gridCol w:w="843"/>
      </w:tblGrid>
      <w:tr w:rsidR="000179FA" w:rsidTr="00104F26">
        <w:tc>
          <w:tcPr>
            <w:tcW w:w="3965" w:type="dxa"/>
            <w:gridSpan w:val="3"/>
            <w:tcBorders>
              <w:right w:val="single" w:sz="12" w:space="0" w:color="auto"/>
            </w:tcBorders>
          </w:tcPr>
          <w:p w:rsidR="000179FA" w:rsidRDefault="000179FA">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Система-оцінювання ВНЗ-партнера</w:t>
            </w:r>
          </w:p>
        </w:tc>
        <w:tc>
          <w:tcPr>
            <w:tcW w:w="5463" w:type="dxa"/>
            <w:gridSpan w:val="4"/>
            <w:tcBorders>
              <w:left w:val="single" w:sz="12" w:space="0" w:color="auto"/>
            </w:tcBorders>
          </w:tcPr>
          <w:p w:rsidR="000179FA" w:rsidRDefault="000179FA">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Система оцінювання ХДУ</w:t>
            </w:r>
          </w:p>
        </w:tc>
      </w:tr>
      <w:tr w:rsidR="000179FA" w:rsidTr="00104F26">
        <w:tc>
          <w:tcPr>
            <w:tcW w:w="1560" w:type="dxa"/>
          </w:tcPr>
          <w:p w:rsidR="000179FA" w:rsidRDefault="000179FA">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Середній бал</w:t>
            </w:r>
          </w:p>
        </w:tc>
        <w:tc>
          <w:tcPr>
            <w:tcW w:w="1560" w:type="dxa"/>
          </w:tcPr>
          <w:p w:rsidR="000179FA" w:rsidRDefault="000179FA">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Оцінка</w:t>
            </w:r>
          </w:p>
        </w:tc>
        <w:tc>
          <w:tcPr>
            <w:tcW w:w="845" w:type="dxa"/>
            <w:tcBorders>
              <w:right w:val="single" w:sz="12" w:space="0" w:color="auto"/>
            </w:tcBorders>
          </w:tcPr>
          <w:p w:rsidR="000179FA" w:rsidRDefault="000179FA">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ЄКТС</w:t>
            </w:r>
          </w:p>
        </w:tc>
        <w:tc>
          <w:tcPr>
            <w:tcW w:w="3060" w:type="dxa"/>
            <w:gridSpan w:val="2"/>
            <w:tcBorders>
              <w:left w:val="single" w:sz="12" w:space="0" w:color="auto"/>
            </w:tcBorders>
          </w:tcPr>
          <w:p w:rsidR="000179FA" w:rsidRDefault="000179FA">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Національна система</w:t>
            </w:r>
          </w:p>
        </w:tc>
        <w:tc>
          <w:tcPr>
            <w:tcW w:w="1561" w:type="dxa"/>
          </w:tcPr>
          <w:p w:rsidR="000179FA" w:rsidRDefault="000179FA">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100-бальна шкала</w:t>
            </w:r>
          </w:p>
        </w:tc>
        <w:tc>
          <w:tcPr>
            <w:tcW w:w="842" w:type="dxa"/>
          </w:tcPr>
          <w:p w:rsidR="000179FA" w:rsidRDefault="000179FA">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ЄКТС</w:t>
            </w:r>
          </w:p>
        </w:tc>
      </w:tr>
      <w:tr w:rsidR="000179FA" w:rsidTr="00104F26">
        <w:tc>
          <w:tcPr>
            <w:tcW w:w="1560" w:type="dxa"/>
          </w:tcPr>
          <w:p w:rsidR="000179FA" w:rsidRDefault="000179FA">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2.0-2.99 = 2</w:t>
            </w:r>
          </w:p>
        </w:tc>
        <w:tc>
          <w:tcPr>
            <w:tcW w:w="1560" w:type="dxa"/>
          </w:tcPr>
          <w:p w:rsidR="000179FA" w:rsidRDefault="000179FA">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недостатньо</w:t>
            </w:r>
          </w:p>
        </w:tc>
        <w:tc>
          <w:tcPr>
            <w:tcW w:w="845" w:type="dxa"/>
            <w:tcBorders>
              <w:right w:val="single" w:sz="12" w:space="0" w:color="auto"/>
            </w:tcBorders>
          </w:tcPr>
          <w:p w:rsidR="000179FA" w:rsidRDefault="000179FA">
            <w:pPr>
              <w:spacing w:after="0" w:line="240" w:lineRule="auto"/>
              <w:jc w:val="both"/>
              <w:rPr>
                <w:rFonts w:ascii="Times New Roman" w:hAnsi="Times New Roman"/>
                <w:sz w:val="28"/>
                <w:szCs w:val="28"/>
                <w:lang w:val="en-US" w:eastAsia="ru-RU"/>
              </w:rPr>
            </w:pPr>
            <w:r>
              <w:rPr>
                <w:rFonts w:ascii="Times New Roman" w:hAnsi="Times New Roman"/>
                <w:sz w:val="28"/>
                <w:szCs w:val="28"/>
                <w:lang w:val="en-US" w:eastAsia="ru-RU"/>
              </w:rPr>
              <w:t>F</w:t>
            </w:r>
          </w:p>
        </w:tc>
        <w:tc>
          <w:tcPr>
            <w:tcW w:w="1440" w:type="dxa"/>
            <w:tcBorders>
              <w:left w:val="single" w:sz="12" w:space="0" w:color="auto"/>
            </w:tcBorders>
          </w:tcPr>
          <w:p w:rsidR="000179FA" w:rsidRDefault="000179FA">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незадовільно</w:t>
            </w:r>
          </w:p>
        </w:tc>
        <w:tc>
          <w:tcPr>
            <w:tcW w:w="1620" w:type="dxa"/>
          </w:tcPr>
          <w:p w:rsidR="000179FA" w:rsidRDefault="000179FA">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не зараховано</w:t>
            </w:r>
          </w:p>
        </w:tc>
        <w:tc>
          <w:tcPr>
            <w:tcW w:w="1561" w:type="dxa"/>
          </w:tcPr>
          <w:p w:rsidR="000179FA" w:rsidRDefault="000179FA">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35</w:t>
            </w:r>
          </w:p>
        </w:tc>
        <w:tc>
          <w:tcPr>
            <w:tcW w:w="842" w:type="dxa"/>
          </w:tcPr>
          <w:p w:rsidR="000179FA" w:rsidRDefault="000179FA">
            <w:pPr>
              <w:spacing w:after="0" w:line="240" w:lineRule="auto"/>
              <w:jc w:val="both"/>
              <w:rPr>
                <w:rFonts w:ascii="Times New Roman" w:hAnsi="Times New Roman"/>
                <w:sz w:val="28"/>
                <w:szCs w:val="28"/>
                <w:lang w:eastAsia="ru-RU"/>
              </w:rPr>
            </w:pPr>
            <w:r>
              <w:rPr>
                <w:rFonts w:ascii="Times New Roman" w:hAnsi="Times New Roman"/>
                <w:sz w:val="28"/>
                <w:szCs w:val="28"/>
                <w:lang w:val="en-US" w:eastAsia="ru-RU"/>
              </w:rPr>
              <w:t>FX</w:t>
            </w:r>
          </w:p>
        </w:tc>
      </w:tr>
      <w:tr w:rsidR="000179FA" w:rsidTr="00104F26">
        <w:tc>
          <w:tcPr>
            <w:tcW w:w="1560" w:type="dxa"/>
          </w:tcPr>
          <w:p w:rsidR="000179FA" w:rsidRDefault="000179FA">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3.0-3.24 = 3</w:t>
            </w:r>
          </w:p>
        </w:tc>
        <w:tc>
          <w:tcPr>
            <w:tcW w:w="1560" w:type="dxa"/>
          </w:tcPr>
          <w:p w:rsidR="000179FA" w:rsidRDefault="000179FA">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достатньо</w:t>
            </w:r>
          </w:p>
        </w:tc>
        <w:tc>
          <w:tcPr>
            <w:tcW w:w="845" w:type="dxa"/>
            <w:tcBorders>
              <w:right w:val="single" w:sz="12" w:space="0" w:color="auto"/>
            </w:tcBorders>
          </w:tcPr>
          <w:p w:rsidR="000179FA" w:rsidRDefault="000179FA">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Е</w:t>
            </w:r>
          </w:p>
        </w:tc>
        <w:tc>
          <w:tcPr>
            <w:tcW w:w="1440" w:type="dxa"/>
            <w:tcBorders>
              <w:left w:val="single" w:sz="12" w:space="0" w:color="auto"/>
            </w:tcBorders>
          </w:tcPr>
          <w:p w:rsidR="000179FA" w:rsidRDefault="000179FA">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задовільно</w:t>
            </w:r>
          </w:p>
        </w:tc>
        <w:tc>
          <w:tcPr>
            <w:tcW w:w="1620" w:type="dxa"/>
            <w:vMerge w:val="restart"/>
          </w:tcPr>
          <w:p w:rsidR="000179FA" w:rsidRDefault="000179FA">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зараховано</w:t>
            </w:r>
          </w:p>
        </w:tc>
        <w:tc>
          <w:tcPr>
            <w:tcW w:w="1561" w:type="dxa"/>
          </w:tcPr>
          <w:p w:rsidR="000179FA" w:rsidRDefault="000179FA">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60</w:t>
            </w:r>
          </w:p>
        </w:tc>
        <w:tc>
          <w:tcPr>
            <w:tcW w:w="842" w:type="dxa"/>
          </w:tcPr>
          <w:p w:rsidR="000179FA" w:rsidRDefault="000179FA">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Е</w:t>
            </w:r>
          </w:p>
        </w:tc>
      </w:tr>
      <w:tr w:rsidR="000179FA" w:rsidTr="00104F26">
        <w:tc>
          <w:tcPr>
            <w:tcW w:w="1560" w:type="dxa"/>
          </w:tcPr>
          <w:p w:rsidR="000179FA" w:rsidRDefault="000179FA">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3.25-3.74 = 3.5</w:t>
            </w:r>
          </w:p>
        </w:tc>
        <w:tc>
          <w:tcPr>
            <w:tcW w:w="1560" w:type="dxa"/>
          </w:tcPr>
          <w:p w:rsidR="000179FA" w:rsidRDefault="000179FA">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достатньо плюс</w:t>
            </w:r>
          </w:p>
        </w:tc>
        <w:tc>
          <w:tcPr>
            <w:tcW w:w="845" w:type="dxa"/>
            <w:tcBorders>
              <w:right w:val="single" w:sz="12" w:space="0" w:color="auto"/>
            </w:tcBorders>
          </w:tcPr>
          <w:p w:rsidR="000179FA" w:rsidRDefault="000179FA">
            <w:pPr>
              <w:spacing w:after="0" w:line="240" w:lineRule="auto"/>
              <w:jc w:val="both"/>
              <w:rPr>
                <w:rFonts w:ascii="Times New Roman" w:hAnsi="Times New Roman"/>
                <w:sz w:val="28"/>
                <w:szCs w:val="28"/>
                <w:lang w:val="en-US" w:eastAsia="ru-RU"/>
              </w:rPr>
            </w:pPr>
            <w:r>
              <w:rPr>
                <w:rFonts w:ascii="Times New Roman" w:hAnsi="Times New Roman"/>
                <w:sz w:val="28"/>
                <w:szCs w:val="28"/>
                <w:lang w:val="en-US" w:eastAsia="ru-RU"/>
              </w:rPr>
              <w:t>D</w:t>
            </w:r>
          </w:p>
        </w:tc>
        <w:tc>
          <w:tcPr>
            <w:tcW w:w="1440" w:type="dxa"/>
            <w:tcBorders>
              <w:left w:val="single" w:sz="12" w:space="0" w:color="auto"/>
            </w:tcBorders>
          </w:tcPr>
          <w:p w:rsidR="000179FA" w:rsidRDefault="000179FA">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задовільно</w:t>
            </w:r>
          </w:p>
        </w:tc>
        <w:tc>
          <w:tcPr>
            <w:tcW w:w="1620" w:type="dxa"/>
            <w:vMerge/>
            <w:vAlign w:val="center"/>
          </w:tcPr>
          <w:p w:rsidR="000179FA" w:rsidRDefault="000179FA">
            <w:pPr>
              <w:spacing w:after="0" w:line="240" w:lineRule="auto"/>
              <w:rPr>
                <w:rFonts w:ascii="Times New Roman" w:hAnsi="Times New Roman"/>
                <w:sz w:val="28"/>
                <w:szCs w:val="28"/>
                <w:lang w:eastAsia="ru-RU"/>
              </w:rPr>
            </w:pPr>
          </w:p>
        </w:tc>
        <w:tc>
          <w:tcPr>
            <w:tcW w:w="1561" w:type="dxa"/>
          </w:tcPr>
          <w:p w:rsidR="000179FA" w:rsidRDefault="000179FA">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69</w:t>
            </w:r>
          </w:p>
        </w:tc>
        <w:tc>
          <w:tcPr>
            <w:tcW w:w="842" w:type="dxa"/>
          </w:tcPr>
          <w:p w:rsidR="000179FA" w:rsidRDefault="000179FA">
            <w:pPr>
              <w:spacing w:after="0" w:line="240" w:lineRule="auto"/>
              <w:jc w:val="both"/>
              <w:rPr>
                <w:rFonts w:ascii="Times New Roman" w:hAnsi="Times New Roman"/>
                <w:sz w:val="28"/>
                <w:szCs w:val="28"/>
                <w:lang w:val="en-US" w:eastAsia="ru-RU"/>
              </w:rPr>
            </w:pPr>
            <w:r>
              <w:rPr>
                <w:rFonts w:ascii="Times New Roman" w:hAnsi="Times New Roman"/>
                <w:sz w:val="28"/>
                <w:szCs w:val="28"/>
                <w:lang w:val="en-US" w:eastAsia="ru-RU"/>
              </w:rPr>
              <w:t>D</w:t>
            </w:r>
          </w:p>
        </w:tc>
      </w:tr>
      <w:tr w:rsidR="000179FA" w:rsidTr="00104F26">
        <w:tc>
          <w:tcPr>
            <w:tcW w:w="1560" w:type="dxa"/>
          </w:tcPr>
          <w:p w:rsidR="000179FA" w:rsidRDefault="000179FA">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3.75-4.24 = 4</w:t>
            </w:r>
          </w:p>
        </w:tc>
        <w:tc>
          <w:tcPr>
            <w:tcW w:w="1560" w:type="dxa"/>
          </w:tcPr>
          <w:p w:rsidR="000179FA" w:rsidRDefault="000179FA">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добре</w:t>
            </w:r>
          </w:p>
        </w:tc>
        <w:tc>
          <w:tcPr>
            <w:tcW w:w="845" w:type="dxa"/>
            <w:tcBorders>
              <w:right w:val="single" w:sz="12" w:space="0" w:color="auto"/>
            </w:tcBorders>
          </w:tcPr>
          <w:p w:rsidR="000179FA" w:rsidRDefault="000179FA">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С</w:t>
            </w:r>
          </w:p>
        </w:tc>
        <w:tc>
          <w:tcPr>
            <w:tcW w:w="1440" w:type="dxa"/>
            <w:tcBorders>
              <w:left w:val="single" w:sz="12" w:space="0" w:color="auto"/>
            </w:tcBorders>
          </w:tcPr>
          <w:p w:rsidR="000179FA" w:rsidRDefault="000179FA">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добре</w:t>
            </w:r>
          </w:p>
        </w:tc>
        <w:tc>
          <w:tcPr>
            <w:tcW w:w="1620" w:type="dxa"/>
            <w:vMerge/>
            <w:vAlign w:val="center"/>
          </w:tcPr>
          <w:p w:rsidR="000179FA" w:rsidRDefault="000179FA">
            <w:pPr>
              <w:spacing w:after="0" w:line="240" w:lineRule="auto"/>
              <w:rPr>
                <w:rFonts w:ascii="Times New Roman" w:hAnsi="Times New Roman"/>
                <w:sz w:val="28"/>
                <w:szCs w:val="28"/>
                <w:lang w:eastAsia="ru-RU"/>
              </w:rPr>
            </w:pPr>
          </w:p>
        </w:tc>
        <w:tc>
          <w:tcPr>
            <w:tcW w:w="1561" w:type="dxa"/>
          </w:tcPr>
          <w:p w:rsidR="000179FA" w:rsidRDefault="000179FA">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78</w:t>
            </w:r>
          </w:p>
        </w:tc>
        <w:tc>
          <w:tcPr>
            <w:tcW w:w="842" w:type="dxa"/>
          </w:tcPr>
          <w:p w:rsidR="000179FA" w:rsidRDefault="000179FA">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С</w:t>
            </w:r>
          </w:p>
        </w:tc>
      </w:tr>
      <w:tr w:rsidR="000179FA" w:rsidTr="00104F26">
        <w:tc>
          <w:tcPr>
            <w:tcW w:w="1560" w:type="dxa"/>
          </w:tcPr>
          <w:p w:rsidR="000179FA" w:rsidRDefault="000179FA">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4.25-4.74 = 4.5</w:t>
            </w:r>
          </w:p>
        </w:tc>
        <w:tc>
          <w:tcPr>
            <w:tcW w:w="1560" w:type="dxa"/>
          </w:tcPr>
          <w:p w:rsidR="000179FA" w:rsidRDefault="000179FA">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добре плюс</w:t>
            </w:r>
          </w:p>
        </w:tc>
        <w:tc>
          <w:tcPr>
            <w:tcW w:w="845" w:type="dxa"/>
            <w:tcBorders>
              <w:right w:val="single" w:sz="12" w:space="0" w:color="auto"/>
            </w:tcBorders>
          </w:tcPr>
          <w:p w:rsidR="000179FA" w:rsidRDefault="000179FA">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В</w:t>
            </w:r>
          </w:p>
        </w:tc>
        <w:tc>
          <w:tcPr>
            <w:tcW w:w="1440" w:type="dxa"/>
            <w:tcBorders>
              <w:left w:val="single" w:sz="12" w:space="0" w:color="auto"/>
            </w:tcBorders>
          </w:tcPr>
          <w:p w:rsidR="000179FA" w:rsidRDefault="000179FA">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добре</w:t>
            </w:r>
          </w:p>
        </w:tc>
        <w:tc>
          <w:tcPr>
            <w:tcW w:w="1620" w:type="dxa"/>
            <w:vMerge/>
            <w:vAlign w:val="center"/>
          </w:tcPr>
          <w:p w:rsidR="000179FA" w:rsidRDefault="000179FA">
            <w:pPr>
              <w:spacing w:after="0" w:line="240" w:lineRule="auto"/>
              <w:rPr>
                <w:rFonts w:ascii="Times New Roman" w:hAnsi="Times New Roman"/>
                <w:sz w:val="28"/>
                <w:szCs w:val="28"/>
                <w:lang w:eastAsia="ru-RU"/>
              </w:rPr>
            </w:pPr>
          </w:p>
        </w:tc>
        <w:tc>
          <w:tcPr>
            <w:tcW w:w="1561" w:type="dxa"/>
          </w:tcPr>
          <w:p w:rsidR="000179FA" w:rsidRDefault="000179FA">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87</w:t>
            </w:r>
          </w:p>
        </w:tc>
        <w:tc>
          <w:tcPr>
            <w:tcW w:w="842" w:type="dxa"/>
          </w:tcPr>
          <w:p w:rsidR="000179FA" w:rsidRDefault="000179FA">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В</w:t>
            </w:r>
          </w:p>
        </w:tc>
      </w:tr>
      <w:tr w:rsidR="000179FA" w:rsidTr="00104F26">
        <w:tc>
          <w:tcPr>
            <w:tcW w:w="1560" w:type="dxa"/>
          </w:tcPr>
          <w:p w:rsidR="000179FA" w:rsidRDefault="000179FA">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4.65-5.0 = 5</w:t>
            </w:r>
          </w:p>
        </w:tc>
        <w:tc>
          <w:tcPr>
            <w:tcW w:w="1560" w:type="dxa"/>
          </w:tcPr>
          <w:p w:rsidR="000179FA" w:rsidRDefault="000179FA">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дуже добре</w:t>
            </w:r>
          </w:p>
        </w:tc>
        <w:tc>
          <w:tcPr>
            <w:tcW w:w="845" w:type="dxa"/>
            <w:tcBorders>
              <w:right w:val="single" w:sz="12" w:space="0" w:color="auto"/>
            </w:tcBorders>
          </w:tcPr>
          <w:p w:rsidR="000179FA" w:rsidRDefault="000179FA">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А</w:t>
            </w:r>
          </w:p>
        </w:tc>
        <w:tc>
          <w:tcPr>
            <w:tcW w:w="1440" w:type="dxa"/>
            <w:tcBorders>
              <w:left w:val="single" w:sz="12" w:space="0" w:color="auto"/>
            </w:tcBorders>
          </w:tcPr>
          <w:p w:rsidR="000179FA" w:rsidRDefault="000179FA">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відмінно</w:t>
            </w:r>
          </w:p>
        </w:tc>
        <w:tc>
          <w:tcPr>
            <w:tcW w:w="1620" w:type="dxa"/>
            <w:vMerge/>
            <w:vAlign w:val="center"/>
          </w:tcPr>
          <w:p w:rsidR="000179FA" w:rsidRDefault="000179FA">
            <w:pPr>
              <w:spacing w:after="0" w:line="240" w:lineRule="auto"/>
              <w:rPr>
                <w:rFonts w:ascii="Times New Roman" w:hAnsi="Times New Roman"/>
                <w:sz w:val="28"/>
                <w:szCs w:val="28"/>
                <w:lang w:eastAsia="ru-RU"/>
              </w:rPr>
            </w:pPr>
          </w:p>
        </w:tc>
        <w:tc>
          <w:tcPr>
            <w:tcW w:w="1561" w:type="dxa"/>
          </w:tcPr>
          <w:p w:rsidR="000179FA" w:rsidRDefault="000179FA">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95</w:t>
            </w:r>
          </w:p>
        </w:tc>
        <w:tc>
          <w:tcPr>
            <w:tcW w:w="842" w:type="dxa"/>
          </w:tcPr>
          <w:p w:rsidR="000179FA" w:rsidRDefault="000179FA">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А</w:t>
            </w:r>
          </w:p>
        </w:tc>
      </w:tr>
    </w:tbl>
    <w:p w:rsidR="000179FA" w:rsidRDefault="000179FA" w:rsidP="00104F26">
      <w:pPr>
        <w:spacing w:after="0" w:line="240" w:lineRule="auto"/>
        <w:ind w:firstLine="540"/>
        <w:jc w:val="both"/>
        <w:rPr>
          <w:rFonts w:ascii="Times New Roman" w:hAnsi="Times New Roman"/>
          <w:sz w:val="28"/>
          <w:szCs w:val="28"/>
          <w:lang w:eastAsia="ru-RU"/>
        </w:rPr>
      </w:pPr>
    </w:p>
    <w:p w:rsidR="000179FA" w:rsidRDefault="000179FA" w:rsidP="00104F26">
      <w:pPr>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Відповідний запис про результати навчання у ВНЗ-партнері (наприклад, «добре (зараховано), 78, С») в «Аркуші успішності» та в заліковій книжці робить координатор проекту (заступник декана з навчальної роботи) з посиланням на відповідне розпорядження проректора з навчальної та науково-педагогічної роботи.</w:t>
      </w:r>
    </w:p>
    <w:p w:rsidR="000179FA" w:rsidRDefault="000179FA" w:rsidP="00104F26">
      <w:pPr>
        <w:spacing w:after="0" w:line="240" w:lineRule="auto"/>
        <w:ind w:firstLine="357"/>
        <w:jc w:val="both"/>
        <w:rPr>
          <w:rFonts w:ascii="Times New Roman" w:hAnsi="Times New Roman"/>
          <w:sz w:val="28"/>
          <w:szCs w:val="28"/>
          <w:lang w:eastAsia="ru-RU"/>
        </w:rPr>
      </w:pPr>
      <w:r>
        <w:rPr>
          <w:rFonts w:ascii="Times New Roman" w:hAnsi="Times New Roman"/>
          <w:sz w:val="28"/>
          <w:szCs w:val="28"/>
          <w:lang w:eastAsia="ru-RU"/>
        </w:rPr>
        <w:t>7. Державна атестація здобувачів вищої освіти, які навчаються за програмою академічної мобільності, здійснюється у встановленому порядку.</w:t>
      </w:r>
    </w:p>
    <w:p w:rsidR="000179FA" w:rsidRDefault="000179FA" w:rsidP="00104F26">
      <w:pPr>
        <w:spacing w:after="0" w:line="240" w:lineRule="auto"/>
        <w:ind w:firstLine="357"/>
        <w:jc w:val="both"/>
        <w:rPr>
          <w:rFonts w:ascii="Times New Roman" w:hAnsi="Times New Roman"/>
          <w:sz w:val="28"/>
          <w:szCs w:val="28"/>
          <w:lang w:eastAsia="ru-RU"/>
        </w:rPr>
      </w:pPr>
    </w:p>
    <w:p w:rsidR="000179FA" w:rsidRDefault="000179FA" w:rsidP="00104F26">
      <w:pPr>
        <w:spacing w:after="0" w:line="240" w:lineRule="auto"/>
        <w:ind w:firstLine="357"/>
        <w:jc w:val="both"/>
        <w:rPr>
          <w:rFonts w:ascii="Times New Roman" w:hAnsi="Times New Roman"/>
          <w:sz w:val="28"/>
          <w:szCs w:val="28"/>
          <w:lang w:eastAsia="ru-RU"/>
        </w:rPr>
      </w:pPr>
      <w:r>
        <w:rPr>
          <w:rFonts w:ascii="Times New Roman" w:hAnsi="Times New Roman"/>
          <w:sz w:val="28"/>
          <w:szCs w:val="28"/>
          <w:lang w:eastAsia="ru-RU"/>
        </w:rPr>
        <w:t>6. ОБОВ’ЯЗКИ ВИЩИХ НАВЧАЛЬНИХ ЗАКЛАДІВ-ПАРТНЕРІВ</w:t>
      </w:r>
    </w:p>
    <w:p w:rsidR="000179FA" w:rsidRDefault="000179FA" w:rsidP="00104F26">
      <w:pPr>
        <w:spacing w:after="0" w:line="240" w:lineRule="auto"/>
        <w:ind w:firstLine="357"/>
        <w:jc w:val="both"/>
        <w:rPr>
          <w:rFonts w:ascii="Times New Roman" w:hAnsi="Times New Roman"/>
          <w:sz w:val="28"/>
          <w:szCs w:val="28"/>
          <w:lang w:eastAsia="ru-RU"/>
        </w:rPr>
      </w:pPr>
    </w:p>
    <w:p w:rsidR="000179FA" w:rsidRDefault="000179FA" w:rsidP="00104F26">
      <w:pPr>
        <w:spacing w:after="0" w:line="240" w:lineRule="auto"/>
        <w:ind w:firstLine="357"/>
        <w:jc w:val="both"/>
        <w:rPr>
          <w:rFonts w:ascii="Times New Roman" w:hAnsi="Times New Roman"/>
          <w:sz w:val="28"/>
          <w:szCs w:val="28"/>
          <w:lang w:eastAsia="uk-UA"/>
        </w:rPr>
      </w:pPr>
      <w:r>
        <w:rPr>
          <w:rFonts w:ascii="Times New Roman" w:hAnsi="Times New Roman"/>
          <w:sz w:val="28"/>
          <w:szCs w:val="28"/>
          <w:lang w:eastAsia="uk-UA"/>
        </w:rPr>
        <w:t>1. Учасники освітнього процесу, які є здобувачами вищої освіти в  межах програм внутрішньої мобільності, зараховуються до вищих навчальних закладів (наукових установ) — партнерів в Україні як такі, що тимчасово допущені до освітнього процесу і мають права та обов’язки здобувачів вищої освіти вітчизняного вищого навчального закладу (наукової установи).</w:t>
      </w:r>
    </w:p>
    <w:p w:rsidR="000179FA" w:rsidRDefault="000179FA" w:rsidP="00104F26">
      <w:pPr>
        <w:spacing w:after="0" w:line="240" w:lineRule="auto"/>
        <w:ind w:firstLine="357"/>
        <w:jc w:val="both"/>
        <w:rPr>
          <w:rFonts w:ascii="Times New Roman" w:hAnsi="Times New Roman"/>
          <w:sz w:val="28"/>
          <w:szCs w:val="28"/>
          <w:lang w:eastAsia="uk-UA"/>
        </w:rPr>
      </w:pPr>
      <w:r>
        <w:rPr>
          <w:rFonts w:ascii="Times New Roman" w:hAnsi="Times New Roman"/>
          <w:sz w:val="28"/>
          <w:szCs w:val="28"/>
          <w:lang w:eastAsia="uk-UA"/>
        </w:rPr>
        <w:t>2. За домовленістю між учасниками академічної мобільності:</w:t>
      </w:r>
    </w:p>
    <w:p w:rsidR="000179FA" w:rsidRDefault="000179FA" w:rsidP="00104F26">
      <w:pPr>
        <w:spacing w:after="0" w:line="240" w:lineRule="auto"/>
        <w:ind w:firstLine="357"/>
        <w:jc w:val="both"/>
        <w:rPr>
          <w:rFonts w:ascii="Times New Roman" w:hAnsi="Times New Roman"/>
          <w:sz w:val="28"/>
          <w:szCs w:val="28"/>
          <w:lang w:eastAsia="uk-UA"/>
        </w:rPr>
      </w:pPr>
      <w:r>
        <w:rPr>
          <w:rFonts w:ascii="Times New Roman" w:hAnsi="Times New Roman"/>
          <w:sz w:val="28"/>
          <w:szCs w:val="28"/>
          <w:lang w:eastAsia="uk-UA"/>
        </w:rPr>
        <w:t>здійснюється відбір учасників освітнього процесу для участі в програмах академічної мобільності;</w:t>
      </w:r>
    </w:p>
    <w:p w:rsidR="000179FA" w:rsidRDefault="000179FA" w:rsidP="00104F26">
      <w:pPr>
        <w:spacing w:after="0" w:line="240" w:lineRule="auto"/>
        <w:ind w:firstLine="357"/>
        <w:jc w:val="both"/>
        <w:rPr>
          <w:rFonts w:ascii="Times New Roman" w:hAnsi="Times New Roman"/>
          <w:sz w:val="28"/>
          <w:szCs w:val="28"/>
          <w:lang w:eastAsia="uk-UA"/>
        </w:rPr>
      </w:pPr>
      <w:r>
        <w:rPr>
          <w:rFonts w:ascii="Times New Roman" w:hAnsi="Times New Roman"/>
          <w:sz w:val="28"/>
          <w:szCs w:val="28"/>
          <w:lang w:eastAsia="uk-UA"/>
        </w:rPr>
        <w:t>регламентуються перелік вимог та документів, необхідних для підтвердження участі в програмі академічної мобільності, процедура і строк їх подання;</w:t>
      </w:r>
    </w:p>
    <w:p w:rsidR="000179FA" w:rsidRDefault="000179FA" w:rsidP="00104F26">
      <w:pPr>
        <w:spacing w:after="0" w:line="240" w:lineRule="auto"/>
        <w:ind w:firstLine="357"/>
        <w:jc w:val="both"/>
        <w:rPr>
          <w:rFonts w:ascii="Times New Roman" w:hAnsi="Times New Roman"/>
          <w:sz w:val="28"/>
          <w:szCs w:val="28"/>
          <w:lang w:eastAsia="uk-UA"/>
        </w:rPr>
      </w:pPr>
      <w:r>
        <w:rPr>
          <w:rFonts w:ascii="Times New Roman" w:hAnsi="Times New Roman"/>
          <w:sz w:val="28"/>
          <w:szCs w:val="28"/>
          <w:lang w:eastAsia="uk-UA"/>
        </w:rPr>
        <w:t>визначаються етапи, фінансові умови, види та форми академічної мобільності, тривалість і зміст навчання та стажування у вищих навчальних закладах (наукових установах) — партнерах;</w:t>
      </w:r>
    </w:p>
    <w:p w:rsidR="000179FA" w:rsidRDefault="000179FA" w:rsidP="00104F26">
      <w:pPr>
        <w:spacing w:after="0" w:line="240" w:lineRule="auto"/>
        <w:ind w:firstLine="357"/>
        <w:jc w:val="both"/>
        <w:rPr>
          <w:rFonts w:ascii="Times New Roman" w:hAnsi="Times New Roman"/>
          <w:sz w:val="28"/>
          <w:szCs w:val="28"/>
          <w:lang w:eastAsia="uk-UA"/>
        </w:rPr>
      </w:pPr>
      <w:r>
        <w:rPr>
          <w:rFonts w:ascii="Times New Roman" w:hAnsi="Times New Roman"/>
          <w:sz w:val="28"/>
          <w:szCs w:val="28"/>
          <w:lang w:eastAsia="uk-UA"/>
        </w:rPr>
        <w:t>визначаються умови визнання результатів навчання, стажування або проведення наукових досліджень та звітування науково-педагогічних, наукових та педагогічних працівників.</w:t>
      </w:r>
    </w:p>
    <w:p w:rsidR="000179FA" w:rsidRDefault="000179FA" w:rsidP="00104F26">
      <w:pPr>
        <w:spacing w:after="0" w:line="240" w:lineRule="auto"/>
        <w:ind w:left="717"/>
        <w:jc w:val="both"/>
        <w:rPr>
          <w:rFonts w:ascii="Times New Roman" w:hAnsi="Times New Roman"/>
          <w:sz w:val="28"/>
          <w:szCs w:val="28"/>
          <w:lang w:eastAsia="uk-UA"/>
        </w:rPr>
      </w:pPr>
      <w:r>
        <w:rPr>
          <w:rFonts w:ascii="Times New Roman" w:hAnsi="Times New Roman"/>
          <w:sz w:val="28"/>
          <w:szCs w:val="28"/>
          <w:lang w:eastAsia="ru-RU"/>
        </w:rPr>
        <w:t>2. Вищий навчальний заклад, що направляє на навчання, зобов’язаний:</w:t>
      </w:r>
    </w:p>
    <w:p w:rsidR="000179FA" w:rsidRDefault="000179FA" w:rsidP="00104F26">
      <w:pPr>
        <w:spacing w:after="0" w:line="240" w:lineRule="auto"/>
        <w:ind w:firstLine="357"/>
        <w:jc w:val="both"/>
        <w:rPr>
          <w:rFonts w:ascii="Times New Roman" w:hAnsi="Times New Roman"/>
          <w:sz w:val="28"/>
          <w:szCs w:val="28"/>
          <w:lang w:eastAsia="uk-UA"/>
        </w:rPr>
      </w:pPr>
      <w:r>
        <w:rPr>
          <w:rFonts w:ascii="Times New Roman" w:hAnsi="Times New Roman"/>
          <w:sz w:val="28"/>
          <w:szCs w:val="28"/>
          <w:lang w:eastAsia="ru-RU"/>
        </w:rPr>
        <w:t xml:space="preserve">укласти угоду про співробітництво щодо реалізації програми академічної мобільності здобувачів вищої освіти між вищими навчальними закладами-партнерами та узгодити навчальні програми; </w:t>
      </w:r>
    </w:p>
    <w:p w:rsidR="000179FA" w:rsidRDefault="000179FA" w:rsidP="00104F26">
      <w:pPr>
        <w:spacing w:after="0" w:line="240" w:lineRule="auto"/>
        <w:ind w:firstLine="357"/>
        <w:jc w:val="both"/>
        <w:rPr>
          <w:rFonts w:ascii="Times New Roman" w:hAnsi="Times New Roman"/>
          <w:sz w:val="28"/>
          <w:szCs w:val="28"/>
          <w:lang w:eastAsia="ru-RU"/>
        </w:rPr>
      </w:pPr>
      <w:r>
        <w:rPr>
          <w:rFonts w:ascii="Times New Roman" w:hAnsi="Times New Roman"/>
          <w:sz w:val="28"/>
          <w:szCs w:val="28"/>
          <w:lang w:eastAsia="ru-RU"/>
        </w:rPr>
        <w:t>забезпечити вільний і рівний доступ до інформації про наявні програми академічної мобільності та існуючі критерії відбору;</w:t>
      </w:r>
    </w:p>
    <w:p w:rsidR="000179FA" w:rsidRDefault="000179FA" w:rsidP="00104F26">
      <w:pPr>
        <w:spacing w:after="0" w:line="240" w:lineRule="auto"/>
        <w:ind w:firstLine="357"/>
        <w:jc w:val="both"/>
        <w:rPr>
          <w:rFonts w:ascii="Times New Roman" w:hAnsi="Times New Roman"/>
          <w:sz w:val="28"/>
          <w:szCs w:val="28"/>
          <w:lang w:eastAsia="ru-RU"/>
        </w:rPr>
      </w:pPr>
      <w:r>
        <w:rPr>
          <w:rFonts w:ascii="Times New Roman" w:hAnsi="Times New Roman"/>
          <w:sz w:val="28"/>
          <w:szCs w:val="28"/>
          <w:lang w:eastAsia="ru-RU"/>
        </w:rPr>
        <w:t xml:space="preserve">надавати консультативні послуги під час оформлення документів для участі у програмах академічної мобільності; </w:t>
      </w:r>
    </w:p>
    <w:p w:rsidR="000179FA" w:rsidRDefault="000179FA" w:rsidP="00104F26">
      <w:pPr>
        <w:spacing w:after="0" w:line="240" w:lineRule="auto"/>
        <w:ind w:firstLine="357"/>
        <w:jc w:val="both"/>
        <w:rPr>
          <w:rFonts w:ascii="Times New Roman" w:hAnsi="Times New Roman"/>
          <w:sz w:val="28"/>
          <w:szCs w:val="28"/>
          <w:lang w:eastAsia="ru-RU"/>
        </w:rPr>
      </w:pPr>
      <w:r>
        <w:rPr>
          <w:rFonts w:ascii="Times New Roman" w:hAnsi="Times New Roman"/>
          <w:sz w:val="28"/>
          <w:szCs w:val="28"/>
          <w:lang w:eastAsia="ru-RU"/>
        </w:rPr>
        <w:t>контролювати наявність документів, що підтверджують законність перебування здобувачів вищої освіти-іноземців на території приймаючої країни.</w:t>
      </w:r>
    </w:p>
    <w:p w:rsidR="000179FA" w:rsidRDefault="000179FA" w:rsidP="00104F26">
      <w:pPr>
        <w:spacing w:after="0" w:line="240" w:lineRule="auto"/>
        <w:ind w:firstLine="357"/>
        <w:jc w:val="both"/>
        <w:rPr>
          <w:rFonts w:ascii="Times New Roman" w:hAnsi="Times New Roman"/>
          <w:sz w:val="28"/>
          <w:szCs w:val="28"/>
          <w:lang w:eastAsia="ru-RU"/>
        </w:rPr>
      </w:pPr>
      <w:r>
        <w:rPr>
          <w:rFonts w:ascii="Times New Roman" w:hAnsi="Times New Roman"/>
          <w:sz w:val="28"/>
          <w:szCs w:val="28"/>
          <w:lang w:eastAsia="ru-RU"/>
        </w:rPr>
        <w:t>3. Вищий навчальний заклад-партнер, що приймає на навчання, зобов’язаний:</w:t>
      </w:r>
    </w:p>
    <w:p w:rsidR="000179FA" w:rsidRDefault="000179FA" w:rsidP="00104F26">
      <w:pPr>
        <w:spacing w:after="0" w:line="240" w:lineRule="auto"/>
        <w:ind w:firstLine="357"/>
        <w:jc w:val="both"/>
        <w:rPr>
          <w:rFonts w:ascii="Times New Roman" w:hAnsi="Times New Roman"/>
          <w:sz w:val="28"/>
          <w:szCs w:val="28"/>
          <w:lang w:eastAsia="ru-RU"/>
        </w:rPr>
      </w:pPr>
      <w:r>
        <w:rPr>
          <w:rFonts w:ascii="Times New Roman" w:hAnsi="Times New Roman"/>
          <w:sz w:val="28"/>
          <w:szCs w:val="28"/>
          <w:lang w:eastAsia="ru-RU"/>
        </w:rPr>
        <w:t>зарахувати здобувача вищої освіти, направленого на навчання на визначений договором строк відповідно до норм законодавства приймаючої сторони;</w:t>
      </w:r>
    </w:p>
    <w:p w:rsidR="000179FA" w:rsidRDefault="000179FA" w:rsidP="00104F26">
      <w:pPr>
        <w:spacing w:after="0" w:line="240" w:lineRule="auto"/>
        <w:ind w:firstLine="357"/>
        <w:jc w:val="both"/>
        <w:rPr>
          <w:rFonts w:ascii="Times New Roman" w:hAnsi="Times New Roman"/>
          <w:sz w:val="28"/>
          <w:szCs w:val="28"/>
          <w:lang w:eastAsia="ru-RU"/>
        </w:rPr>
      </w:pPr>
      <w:r>
        <w:rPr>
          <w:rFonts w:ascii="Times New Roman" w:hAnsi="Times New Roman"/>
          <w:sz w:val="28"/>
          <w:szCs w:val="28"/>
          <w:lang w:eastAsia="ru-RU"/>
        </w:rPr>
        <w:t>створити усі необхідні умови для виконання індивідуального навчального плану;</w:t>
      </w:r>
    </w:p>
    <w:p w:rsidR="000179FA" w:rsidRDefault="000179FA" w:rsidP="00104F26">
      <w:pPr>
        <w:spacing w:after="0" w:line="240" w:lineRule="auto"/>
        <w:ind w:firstLine="357"/>
        <w:jc w:val="both"/>
        <w:rPr>
          <w:rFonts w:ascii="Times New Roman" w:hAnsi="Times New Roman"/>
          <w:sz w:val="28"/>
          <w:szCs w:val="28"/>
          <w:lang w:eastAsia="ru-RU"/>
        </w:rPr>
      </w:pPr>
      <w:r>
        <w:rPr>
          <w:rFonts w:ascii="Times New Roman" w:hAnsi="Times New Roman"/>
          <w:sz w:val="28"/>
          <w:szCs w:val="28"/>
          <w:lang w:eastAsia="ru-RU"/>
        </w:rPr>
        <w:t>сприяти у вирішенні візових, житлових та побутових проблем;</w:t>
      </w:r>
    </w:p>
    <w:p w:rsidR="000179FA" w:rsidRDefault="000179FA" w:rsidP="00104F26">
      <w:pPr>
        <w:spacing w:after="0" w:line="240" w:lineRule="auto"/>
        <w:ind w:firstLine="357"/>
        <w:jc w:val="both"/>
        <w:rPr>
          <w:rFonts w:ascii="Times New Roman" w:hAnsi="Times New Roman"/>
          <w:sz w:val="28"/>
          <w:szCs w:val="28"/>
          <w:lang w:eastAsia="ru-RU"/>
        </w:rPr>
      </w:pPr>
      <w:r>
        <w:rPr>
          <w:rFonts w:ascii="Times New Roman" w:hAnsi="Times New Roman"/>
          <w:sz w:val="28"/>
          <w:szCs w:val="28"/>
          <w:lang w:eastAsia="ru-RU"/>
        </w:rPr>
        <w:t>надавати можливість здобувачам вищої освіти вищого навчального закладу-партнера брати участь у наукових конференціях, симпозіумах, виставках, конкурсах, представляти свої наукові роботи для публікацій, користуватися навчальною, науковою, виробничою, культурною, спортивною базами;</w:t>
      </w:r>
    </w:p>
    <w:p w:rsidR="000179FA" w:rsidRDefault="000179FA" w:rsidP="00104F26">
      <w:pPr>
        <w:spacing w:after="0" w:line="240" w:lineRule="auto"/>
        <w:ind w:firstLine="357"/>
        <w:jc w:val="both"/>
        <w:rPr>
          <w:rFonts w:ascii="Times New Roman" w:hAnsi="Times New Roman"/>
          <w:sz w:val="28"/>
          <w:szCs w:val="28"/>
          <w:lang w:eastAsia="ru-RU"/>
        </w:rPr>
      </w:pPr>
      <w:r>
        <w:rPr>
          <w:rFonts w:ascii="Times New Roman" w:hAnsi="Times New Roman"/>
          <w:sz w:val="28"/>
          <w:szCs w:val="28"/>
          <w:lang w:eastAsia="ru-RU"/>
        </w:rPr>
        <w:t xml:space="preserve">контролювати наявність документів, що підтверджують законність перебування здобувачів вищої освіти-іноземців на території приймаючої країни; </w:t>
      </w:r>
    </w:p>
    <w:p w:rsidR="000179FA" w:rsidRDefault="000179FA" w:rsidP="00104F26">
      <w:pPr>
        <w:spacing w:after="0" w:line="240" w:lineRule="auto"/>
        <w:ind w:firstLine="357"/>
        <w:jc w:val="both"/>
        <w:rPr>
          <w:rFonts w:ascii="Times New Roman" w:hAnsi="Times New Roman"/>
          <w:sz w:val="28"/>
          <w:szCs w:val="28"/>
          <w:lang w:eastAsia="ru-RU"/>
        </w:rPr>
      </w:pPr>
      <w:r>
        <w:rPr>
          <w:rFonts w:ascii="Times New Roman" w:hAnsi="Times New Roman"/>
          <w:sz w:val="28"/>
          <w:szCs w:val="28"/>
          <w:lang w:eastAsia="ru-RU"/>
        </w:rPr>
        <w:t>після завершення навчання видати документ з переліком та результатами вивчення навчальних дисциплін, кількістю кредитів та інформацією про систему оцінювання навчальних здобутків студентів або документ про вищу освіту з додатком встановленого у вищому навчальному закладі-партнері зразка.</w:t>
      </w:r>
    </w:p>
    <w:p w:rsidR="000179FA" w:rsidRDefault="000179FA" w:rsidP="00104F26">
      <w:pPr>
        <w:spacing w:after="0" w:line="240" w:lineRule="auto"/>
        <w:ind w:firstLine="357"/>
        <w:jc w:val="both"/>
        <w:rPr>
          <w:rFonts w:ascii="Times New Roman" w:hAnsi="Times New Roman"/>
          <w:sz w:val="28"/>
          <w:szCs w:val="28"/>
          <w:lang w:eastAsia="ru-RU"/>
        </w:rPr>
      </w:pPr>
      <w:r>
        <w:rPr>
          <w:rFonts w:ascii="Times New Roman" w:hAnsi="Times New Roman"/>
          <w:sz w:val="28"/>
          <w:szCs w:val="28"/>
          <w:lang w:eastAsia="ru-RU"/>
        </w:rPr>
        <w:t>4. Обов'язки вищих навчальних закладів-партнерів щодо осіб, які беруть участь у програмах академічної мобільності, мають бути обумовлені у відповідних угодах між вищими навчальними закладами-партнерами щодо програм академічної мобільності студентів між вищими навчальними закладами-партнерами.</w:t>
      </w:r>
    </w:p>
    <w:p w:rsidR="000179FA" w:rsidRDefault="000179FA" w:rsidP="00104F26">
      <w:pPr>
        <w:spacing w:after="0" w:line="240" w:lineRule="auto"/>
        <w:ind w:firstLine="357"/>
        <w:jc w:val="both"/>
        <w:rPr>
          <w:rFonts w:ascii="Times New Roman" w:hAnsi="Times New Roman"/>
          <w:sz w:val="28"/>
          <w:szCs w:val="28"/>
          <w:lang w:eastAsia="ru-RU"/>
        </w:rPr>
      </w:pPr>
      <w:r>
        <w:rPr>
          <w:rFonts w:ascii="Times New Roman" w:hAnsi="Times New Roman"/>
          <w:sz w:val="28"/>
          <w:szCs w:val="28"/>
          <w:lang w:eastAsia="ru-RU"/>
        </w:rPr>
        <w:t>5. Здобувачі вищої освіти мають право на:</w:t>
      </w:r>
    </w:p>
    <w:p w:rsidR="000179FA" w:rsidRDefault="000179FA" w:rsidP="00104F26">
      <w:pPr>
        <w:spacing w:after="0" w:line="240" w:lineRule="auto"/>
        <w:ind w:firstLine="357"/>
        <w:jc w:val="both"/>
        <w:rPr>
          <w:rFonts w:ascii="Times New Roman" w:hAnsi="Times New Roman"/>
          <w:sz w:val="28"/>
          <w:szCs w:val="28"/>
          <w:lang w:eastAsia="ru-RU"/>
        </w:rPr>
      </w:pPr>
      <w:r>
        <w:rPr>
          <w:rFonts w:ascii="Times New Roman" w:hAnsi="Times New Roman"/>
          <w:sz w:val="28"/>
          <w:szCs w:val="28"/>
          <w:lang w:eastAsia="ru-RU"/>
        </w:rPr>
        <w:t>продовження навчання або вивчення окремих навчальних дисциплін за спорідненими напрямами та спеціальностями підготовки фахівців у вищих навчальних закладах-партнерах;</w:t>
      </w:r>
    </w:p>
    <w:p w:rsidR="000179FA" w:rsidRDefault="000179FA" w:rsidP="00104F26">
      <w:pPr>
        <w:spacing w:after="0" w:line="240" w:lineRule="auto"/>
        <w:ind w:firstLine="357"/>
        <w:jc w:val="both"/>
        <w:rPr>
          <w:rFonts w:ascii="Times New Roman" w:hAnsi="Times New Roman"/>
          <w:sz w:val="28"/>
          <w:szCs w:val="28"/>
          <w:lang w:eastAsia="ru-RU"/>
        </w:rPr>
      </w:pPr>
      <w:r>
        <w:rPr>
          <w:rFonts w:ascii="Times New Roman" w:hAnsi="Times New Roman"/>
          <w:sz w:val="28"/>
          <w:szCs w:val="28"/>
          <w:lang w:eastAsia="ru-RU"/>
        </w:rPr>
        <w:t>безпечні та нешкідливі умови навчання;</w:t>
      </w:r>
    </w:p>
    <w:p w:rsidR="000179FA" w:rsidRDefault="000179FA" w:rsidP="00104F26">
      <w:pPr>
        <w:spacing w:after="0" w:line="240" w:lineRule="auto"/>
        <w:ind w:firstLine="357"/>
        <w:jc w:val="both"/>
        <w:rPr>
          <w:rFonts w:ascii="Times New Roman" w:hAnsi="Times New Roman"/>
          <w:sz w:val="28"/>
          <w:szCs w:val="28"/>
          <w:lang w:eastAsia="ru-RU"/>
        </w:rPr>
      </w:pPr>
      <w:r>
        <w:rPr>
          <w:rFonts w:ascii="Times New Roman" w:hAnsi="Times New Roman"/>
          <w:sz w:val="28"/>
          <w:szCs w:val="28"/>
          <w:lang w:eastAsia="ru-RU"/>
        </w:rPr>
        <w:t>користування навчальною, науковою, виробничою, культурною, спортивною базою вищого навчального закладу, що приймає;</w:t>
      </w:r>
    </w:p>
    <w:p w:rsidR="000179FA" w:rsidRDefault="000179FA" w:rsidP="00104F26">
      <w:pPr>
        <w:spacing w:after="0" w:line="240" w:lineRule="auto"/>
        <w:ind w:firstLine="357"/>
        <w:jc w:val="both"/>
        <w:rPr>
          <w:rFonts w:ascii="Times New Roman" w:hAnsi="Times New Roman"/>
          <w:sz w:val="28"/>
          <w:szCs w:val="28"/>
          <w:lang w:eastAsia="ru-RU"/>
        </w:rPr>
      </w:pPr>
      <w:r>
        <w:rPr>
          <w:rFonts w:ascii="Times New Roman" w:hAnsi="Times New Roman"/>
          <w:sz w:val="28"/>
          <w:szCs w:val="28"/>
          <w:lang w:eastAsia="ru-RU"/>
        </w:rPr>
        <w:t>участь у наукових конференціях, симпозіумах, виставках, конкурсах, представлення своїх наукових робіт для публікацій;</w:t>
      </w:r>
    </w:p>
    <w:p w:rsidR="000179FA" w:rsidRDefault="000179FA" w:rsidP="00104F26">
      <w:pPr>
        <w:spacing w:after="0" w:line="240" w:lineRule="auto"/>
        <w:ind w:firstLine="357"/>
        <w:jc w:val="both"/>
        <w:rPr>
          <w:rFonts w:ascii="Times New Roman" w:hAnsi="Times New Roman"/>
          <w:sz w:val="28"/>
          <w:szCs w:val="28"/>
          <w:lang w:eastAsia="ru-RU"/>
        </w:rPr>
      </w:pPr>
      <w:r>
        <w:rPr>
          <w:rFonts w:ascii="Times New Roman" w:hAnsi="Times New Roman"/>
          <w:sz w:val="28"/>
          <w:szCs w:val="28"/>
          <w:lang w:eastAsia="ru-RU"/>
        </w:rPr>
        <w:t>можливість отримання документа про відповідний рівень встановленого у вищому навчальному закладі-партнері зразка відбувається відповідно до угоди між вищими навчальними закладами-партнерами щодо програм академічної мобільності.</w:t>
      </w:r>
    </w:p>
    <w:p w:rsidR="000179FA" w:rsidRDefault="000179FA" w:rsidP="00104F26">
      <w:pPr>
        <w:spacing w:after="0" w:line="240" w:lineRule="auto"/>
        <w:ind w:firstLine="357"/>
        <w:jc w:val="both"/>
        <w:rPr>
          <w:rFonts w:ascii="Times New Roman" w:hAnsi="Times New Roman"/>
          <w:sz w:val="28"/>
          <w:szCs w:val="28"/>
          <w:lang w:eastAsia="uk-UA"/>
        </w:rPr>
      </w:pPr>
      <w:r>
        <w:rPr>
          <w:rFonts w:ascii="Times New Roman" w:hAnsi="Times New Roman"/>
          <w:sz w:val="28"/>
          <w:szCs w:val="28"/>
          <w:lang w:eastAsia="uk-UA"/>
        </w:rPr>
        <w:t>За здобувачами вищої освіти на період навчання в іншому вищому навчальному закладі (науковій установі) — партнері на території України чи поза її межами зберігаються відповідно до укладеного договору про академічну мобільність місце навчання та виплата стипендії згідно із законодавством протягом навчання, стажування чи провадження наукової діяльності в іншому вищому навчальному закладі (науковій установі) — партнері на території України чи поза її межами, якщо стипендія не передбачена умовами академічної мобільності.</w:t>
      </w:r>
    </w:p>
    <w:p w:rsidR="000179FA" w:rsidRDefault="000179FA" w:rsidP="00104F26">
      <w:pPr>
        <w:spacing w:after="0" w:line="240" w:lineRule="auto"/>
        <w:ind w:firstLine="357"/>
        <w:jc w:val="both"/>
        <w:rPr>
          <w:rFonts w:ascii="Times New Roman" w:hAnsi="Times New Roman"/>
          <w:sz w:val="28"/>
          <w:szCs w:val="28"/>
          <w:lang w:eastAsia="ru-RU"/>
        </w:rPr>
      </w:pPr>
      <w:r>
        <w:rPr>
          <w:rFonts w:ascii="Times New Roman" w:hAnsi="Times New Roman"/>
          <w:sz w:val="28"/>
          <w:szCs w:val="28"/>
          <w:lang w:eastAsia="ru-RU"/>
        </w:rPr>
        <w:t>6. Здобувачі вищої освіти зобов’язані:</w:t>
      </w:r>
    </w:p>
    <w:p w:rsidR="000179FA" w:rsidRDefault="000179FA" w:rsidP="00104F26">
      <w:pPr>
        <w:spacing w:after="0" w:line="240" w:lineRule="auto"/>
        <w:ind w:firstLine="357"/>
        <w:jc w:val="both"/>
        <w:rPr>
          <w:rFonts w:ascii="Times New Roman" w:hAnsi="Times New Roman"/>
          <w:sz w:val="28"/>
          <w:szCs w:val="28"/>
          <w:lang w:eastAsia="ru-RU"/>
        </w:rPr>
      </w:pPr>
      <w:r>
        <w:rPr>
          <w:rFonts w:ascii="Times New Roman" w:hAnsi="Times New Roman"/>
          <w:sz w:val="28"/>
          <w:szCs w:val="28"/>
          <w:lang w:eastAsia="ru-RU"/>
        </w:rPr>
        <w:t>своєчасно надати необхідні документи для участі в програмі академічної мобільності;</w:t>
      </w:r>
    </w:p>
    <w:p w:rsidR="000179FA" w:rsidRDefault="000179FA" w:rsidP="00104F26">
      <w:pPr>
        <w:spacing w:after="0" w:line="240" w:lineRule="auto"/>
        <w:ind w:firstLine="357"/>
        <w:jc w:val="both"/>
        <w:rPr>
          <w:rFonts w:ascii="Times New Roman" w:hAnsi="Times New Roman"/>
          <w:sz w:val="28"/>
          <w:szCs w:val="28"/>
          <w:lang w:eastAsia="ru-RU"/>
        </w:rPr>
      </w:pPr>
      <w:r>
        <w:rPr>
          <w:rFonts w:ascii="Times New Roman" w:hAnsi="Times New Roman"/>
          <w:sz w:val="28"/>
          <w:szCs w:val="28"/>
          <w:lang w:eastAsia="ru-RU"/>
        </w:rPr>
        <w:t>вчасно прибути до місця навчання;</w:t>
      </w:r>
    </w:p>
    <w:p w:rsidR="000179FA" w:rsidRDefault="000179FA" w:rsidP="00104F26">
      <w:pPr>
        <w:spacing w:after="0" w:line="240" w:lineRule="auto"/>
        <w:ind w:firstLine="357"/>
        <w:jc w:val="both"/>
        <w:rPr>
          <w:rFonts w:ascii="Times New Roman" w:hAnsi="Times New Roman"/>
          <w:sz w:val="28"/>
          <w:szCs w:val="28"/>
          <w:lang w:eastAsia="ru-RU"/>
        </w:rPr>
      </w:pPr>
      <w:r>
        <w:rPr>
          <w:rFonts w:ascii="Times New Roman" w:hAnsi="Times New Roman"/>
          <w:sz w:val="28"/>
          <w:szCs w:val="28"/>
          <w:lang w:eastAsia="ru-RU"/>
        </w:rPr>
        <w:t>під час навчання дотримуватися законодавства країни перебування, правил внутрішнього розпорядку, Статуту та інших нормативно-правових документів вищого навчального закладу, що приймає;</w:t>
      </w:r>
    </w:p>
    <w:p w:rsidR="000179FA" w:rsidRDefault="000179FA" w:rsidP="00104F26">
      <w:pPr>
        <w:spacing w:after="0" w:line="240" w:lineRule="auto"/>
        <w:ind w:firstLine="357"/>
        <w:jc w:val="both"/>
        <w:rPr>
          <w:rFonts w:ascii="Times New Roman" w:hAnsi="Times New Roman"/>
          <w:sz w:val="28"/>
          <w:szCs w:val="28"/>
          <w:lang w:eastAsia="ru-RU"/>
        </w:rPr>
      </w:pPr>
      <w:r>
        <w:rPr>
          <w:rFonts w:ascii="Times New Roman" w:hAnsi="Times New Roman"/>
          <w:sz w:val="28"/>
          <w:szCs w:val="28"/>
          <w:lang w:eastAsia="ru-RU"/>
        </w:rPr>
        <w:t>успішно пройти навчання за затвердженим індивідуальним навчальним планом;</w:t>
      </w:r>
    </w:p>
    <w:p w:rsidR="000179FA" w:rsidRDefault="000179FA" w:rsidP="00104F26">
      <w:pPr>
        <w:spacing w:after="0" w:line="240" w:lineRule="auto"/>
        <w:ind w:firstLine="357"/>
        <w:jc w:val="both"/>
        <w:rPr>
          <w:rFonts w:ascii="Times New Roman" w:hAnsi="Times New Roman"/>
          <w:sz w:val="28"/>
          <w:szCs w:val="28"/>
          <w:lang w:eastAsia="ru-RU"/>
        </w:rPr>
      </w:pPr>
      <w:r>
        <w:rPr>
          <w:rFonts w:ascii="Times New Roman" w:hAnsi="Times New Roman"/>
          <w:sz w:val="28"/>
          <w:szCs w:val="28"/>
          <w:lang w:eastAsia="ru-RU"/>
        </w:rPr>
        <w:t>після завершення навчання у вищому навчальному закладі-партнері вчасно повернутися до вищого навчального закладу, що направив на навчання.</w:t>
      </w:r>
    </w:p>
    <w:p w:rsidR="000179FA" w:rsidRDefault="000179FA" w:rsidP="00104F26">
      <w:pPr>
        <w:spacing w:after="0" w:line="240" w:lineRule="auto"/>
        <w:ind w:firstLine="357"/>
        <w:jc w:val="both"/>
        <w:rPr>
          <w:rFonts w:ascii="Times New Roman" w:hAnsi="Times New Roman"/>
          <w:sz w:val="28"/>
          <w:szCs w:val="28"/>
          <w:lang w:eastAsia="ru-RU"/>
        </w:rPr>
      </w:pPr>
    </w:p>
    <w:p w:rsidR="000179FA" w:rsidRDefault="000179FA" w:rsidP="00104F26">
      <w:pPr>
        <w:tabs>
          <w:tab w:val="left" w:pos="0"/>
        </w:tabs>
        <w:spacing w:after="0" w:line="240" w:lineRule="auto"/>
        <w:jc w:val="center"/>
        <w:rPr>
          <w:rFonts w:ascii="Times New Roman" w:hAnsi="Times New Roman"/>
          <w:iCs/>
          <w:sz w:val="28"/>
          <w:szCs w:val="28"/>
          <w:lang w:eastAsia="ru-RU"/>
        </w:rPr>
      </w:pPr>
      <w:r>
        <w:rPr>
          <w:rFonts w:ascii="Times New Roman" w:hAnsi="Times New Roman"/>
          <w:iCs/>
          <w:sz w:val="28"/>
          <w:szCs w:val="28"/>
          <w:lang w:eastAsia="ru-RU"/>
        </w:rPr>
        <w:t>7.ЗВІТУВАННЯ ТА ОФОРМЛЕННЯ ДОКУМЕНТІВ ЗА РЕЗУЛЬТАТАМИ НАВЧАННЯ ЗА ПРОГРАМОЮ АКАДЕМІЧНОЇ МОБІЛЬНОСТІ</w:t>
      </w:r>
    </w:p>
    <w:p w:rsidR="000179FA" w:rsidRDefault="000179FA" w:rsidP="00104F26">
      <w:pPr>
        <w:tabs>
          <w:tab w:val="left" w:pos="0"/>
        </w:tabs>
        <w:spacing w:after="0" w:line="240" w:lineRule="auto"/>
        <w:jc w:val="center"/>
        <w:rPr>
          <w:rFonts w:ascii="Times New Roman" w:hAnsi="Times New Roman"/>
          <w:sz w:val="28"/>
          <w:szCs w:val="28"/>
          <w:lang w:eastAsia="ru-RU"/>
        </w:rPr>
      </w:pPr>
    </w:p>
    <w:p w:rsidR="000179FA" w:rsidRDefault="000179FA" w:rsidP="00104F26">
      <w:pPr>
        <w:spacing w:after="0" w:line="240" w:lineRule="auto"/>
        <w:ind w:firstLine="357"/>
        <w:jc w:val="both"/>
        <w:rPr>
          <w:rFonts w:ascii="Times New Roman" w:hAnsi="Times New Roman"/>
          <w:sz w:val="28"/>
          <w:szCs w:val="28"/>
          <w:lang w:eastAsia="ru-RU"/>
        </w:rPr>
      </w:pPr>
      <w:r>
        <w:rPr>
          <w:rFonts w:ascii="Times New Roman" w:hAnsi="Times New Roman"/>
          <w:sz w:val="28"/>
          <w:szCs w:val="28"/>
          <w:lang w:eastAsia="ru-RU"/>
        </w:rPr>
        <w:t>1. Після повернення до ХДУ здобувач вищої освіти надає до деканату документ з переліком та результатами вивчення навчальних дисциплін, кількістю кредитів та інформацією про систему оцінювання навчальних здобутків, завірений в установленому порядку у вищому навчальному закладі-партнері.</w:t>
      </w:r>
    </w:p>
    <w:p w:rsidR="000179FA" w:rsidRDefault="000179FA" w:rsidP="00104F26">
      <w:pPr>
        <w:tabs>
          <w:tab w:val="num" w:pos="0"/>
        </w:tabs>
        <w:spacing w:after="0" w:line="240" w:lineRule="auto"/>
        <w:ind w:firstLine="357"/>
        <w:jc w:val="both"/>
        <w:rPr>
          <w:rFonts w:ascii="Times New Roman" w:hAnsi="Times New Roman"/>
          <w:sz w:val="28"/>
          <w:szCs w:val="28"/>
          <w:lang w:eastAsia="ru-RU"/>
        </w:rPr>
      </w:pPr>
      <w:r>
        <w:rPr>
          <w:rFonts w:ascii="Times New Roman" w:hAnsi="Times New Roman"/>
          <w:sz w:val="28"/>
          <w:szCs w:val="28"/>
          <w:lang w:eastAsia="ru-RU"/>
        </w:rPr>
        <w:t>2. Якщо здобувач вищої освіти під час перебування у вищому навчальному закладі-партнері не виконав затверджений індивідуальний навчальний план, то після повернення до ХДУ, йому може бути запропонований індивідуальний графік ліквідації академічної заборгованості, затверджений в установленому порядку, або повторний курс навчання у ХДУ за рахунок коштів фізичних та юридичних осіб.</w:t>
      </w:r>
    </w:p>
    <w:p w:rsidR="000179FA" w:rsidRDefault="000179FA" w:rsidP="00104F26">
      <w:pPr>
        <w:spacing w:after="0" w:line="240" w:lineRule="auto"/>
        <w:ind w:firstLine="357"/>
        <w:rPr>
          <w:rFonts w:ascii="Times New Roman" w:hAnsi="Times New Roman"/>
          <w:sz w:val="28"/>
          <w:szCs w:val="28"/>
        </w:rPr>
      </w:pPr>
    </w:p>
    <w:p w:rsidR="000179FA" w:rsidRPr="00104F26" w:rsidRDefault="000179FA" w:rsidP="00104F26"/>
    <w:sectPr w:rsidR="000179FA" w:rsidRPr="00104F26" w:rsidSect="00A57D1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3E3C4E"/>
    <w:multiLevelType w:val="hybridMultilevel"/>
    <w:tmpl w:val="9CDAC2B4"/>
    <w:lvl w:ilvl="0" w:tplc="0419000F">
      <w:start w:val="1"/>
      <w:numFmt w:val="decimal"/>
      <w:lvlText w:val="%1."/>
      <w:lvlJc w:val="left"/>
      <w:pPr>
        <w:tabs>
          <w:tab w:val="num" w:pos="720"/>
        </w:tabs>
        <w:ind w:left="720" w:hanging="360"/>
      </w:pPr>
      <w:rPr>
        <w:rFonts w:cs="Times New Roman"/>
      </w:rPr>
    </w:lvl>
    <w:lvl w:ilvl="1" w:tplc="04190001">
      <w:start w:val="1"/>
      <w:numFmt w:val="bullet"/>
      <w:lvlText w:val=""/>
      <w:lvlJc w:val="left"/>
      <w:pPr>
        <w:tabs>
          <w:tab w:val="num" w:pos="1440"/>
        </w:tabs>
        <w:ind w:left="1440" w:hanging="360"/>
      </w:pPr>
      <w:rPr>
        <w:rFonts w:ascii="Symbol" w:hAnsi="Symbol" w:hint="default"/>
      </w:rPr>
    </w:lvl>
    <w:lvl w:ilvl="2" w:tplc="4CC6D4A4">
      <w:start w:val="4"/>
      <w:numFmt w:val="bullet"/>
      <w:lvlText w:val="-"/>
      <w:lvlJc w:val="left"/>
      <w:pPr>
        <w:tabs>
          <w:tab w:val="num" w:pos="2340"/>
        </w:tabs>
        <w:ind w:left="2340" w:hanging="360"/>
      </w:pPr>
      <w:rPr>
        <w:rFonts w:ascii="Times New Roman" w:eastAsia="Times New Roman" w:hAnsi="Times New Roman" w:hint="default"/>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nsid w:val="533D146C"/>
    <w:multiLevelType w:val="hybridMultilevel"/>
    <w:tmpl w:val="3E26B76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nsid w:val="5D3A31A4"/>
    <w:multiLevelType w:val="hybridMultilevel"/>
    <w:tmpl w:val="F8C672E4"/>
    <w:lvl w:ilvl="0" w:tplc="75DCE260">
      <w:start w:val="1"/>
      <w:numFmt w:val="decimal"/>
      <w:lvlText w:val="%1."/>
      <w:lvlJc w:val="left"/>
      <w:pPr>
        <w:tabs>
          <w:tab w:val="num" w:pos="1065"/>
        </w:tabs>
        <w:ind w:left="1065" w:hanging="705"/>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63DC3208"/>
    <w:multiLevelType w:val="hybridMultilevel"/>
    <w:tmpl w:val="B822A306"/>
    <w:lvl w:ilvl="0" w:tplc="DFC88CD8">
      <w:start w:val="1"/>
      <w:numFmt w:val="decimal"/>
      <w:lvlText w:val="%1."/>
      <w:lvlJc w:val="left"/>
      <w:pPr>
        <w:tabs>
          <w:tab w:val="num" w:pos="1065"/>
        </w:tabs>
        <w:ind w:left="1065" w:hanging="705"/>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nsid w:val="6CA00B68"/>
    <w:multiLevelType w:val="hybridMultilevel"/>
    <w:tmpl w:val="1CBEEBC2"/>
    <w:lvl w:ilvl="0" w:tplc="6B2C0578">
      <w:start w:val="1"/>
      <w:numFmt w:val="decimal"/>
      <w:lvlText w:val="%1."/>
      <w:lvlJc w:val="left"/>
      <w:pPr>
        <w:ind w:left="717" w:hanging="360"/>
      </w:pPr>
      <w:rPr>
        <w:rFonts w:cs="Times New Roman"/>
      </w:rPr>
    </w:lvl>
    <w:lvl w:ilvl="1" w:tplc="04220019">
      <w:start w:val="1"/>
      <w:numFmt w:val="lowerLetter"/>
      <w:lvlText w:val="%2."/>
      <w:lvlJc w:val="left"/>
      <w:pPr>
        <w:ind w:left="1437" w:hanging="360"/>
      </w:pPr>
      <w:rPr>
        <w:rFonts w:cs="Times New Roman"/>
      </w:rPr>
    </w:lvl>
    <w:lvl w:ilvl="2" w:tplc="0422001B">
      <w:start w:val="1"/>
      <w:numFmt w:val="lowerRoman"/>
      <w:lvlText w:val="%3."/>
      <w:lvlJc w:val="right"/>
      <w:pPr>
        <w:ind w:left="2157" w:hanging="180"/>
      </w:pPr>
      <w:rPr>
        <w:rFonts w:cs="Times New Roman"/>
      </w:rPr>
    </w:lvl>
    <w:lvl w:ilvl="3" w:tplc="0422000F">
      <w:start w:val="1"/>
      <w:numFmt w:val="decimal"/>
      <w:lvlText w:val="%4."/>
      <w:lvlJc w:val="left"/>
      <w:pPr>
        <w:ind w:left="2877" w:hanging="360"/>
      </w:pPr>
      <w:rPr>
        <w:rFonts w:cs="Times New Roman"/>
      </w:rPr>
    </w:lvl>
    <w:lvl w:ilvl="4" w:tplc="04220019">
      <w:start w:val="1"/>
      <w:numFmt w:val="lowerLetter"/>
      <w:lvlText w:val="%5."/>
      <w:lvlJc w:val="left"/>
      <w:pPr>
        <w:ind w:left="3597" w:hanging="360"/>
      </w:pPr>
      <w:rPr>
        <w:rFonts w:cs="Times New Roman"/>
      </w:rPr>
    </w:lvl>
    <w:lvl w:ilvl="5" w:tplc="0422001B">
      <w:start w:val="1"/>
      <w:numFmt w:val="lowerRoman"/>
      <w:lvlText w:val="%6."/>
      <w:lvlJc w:val="right"/>
      <w:pPr>
        <w:ind w:left="4317" w:hanging="180"/>
      </w:pPr>
      <w:rPr>
        <w:rFonts w:cs="Times New Roman"/>
      </w:rPr>
    </w:lvl>
    <w:lvl w:ilvl="6" w:tplc="0422000F">
      <w:start w:val="1"/>
      <w:numFmt w:val="decimal"/>
      <w:lvlText w:val="%7."/>
      <w:lvlJc w:val="left"/>
      <w:pPr>
        <w:ind w:left="5037" w:hanging="360"/>
      </w:pPr>
      <w:rPr>
        <w:rFonts w:cs="Times New Roman"/>
      </w:rPr>
    </w:lvl>
    <w:lvl w:ilvl="7" w:tplc="04220019">
      <w:start w:val="1"/>
      <w:numFmt w:val="lowerLetter"/>
      <w:lvlText w:val="%8."/>
      <w:lvlJc w:val="left"/>
      <w:pPr>
        <w:ind w:left="5757" w:hanging="360"/>
      </w:pPr>
      <w:rPr>
        <w:rFonts w:cs="Times New Roman"/>
      </w:rPr>
    </w:lvl>
    <w:lvl w:ilvl="8" w:tplc="0422001B">
      <w:start w:val="1"/>
      <w:numFmt w:val="lowerRoman"/>
      <w:lvlText w:val="%9."/>
      <w:lvlJc w:val="right"/>
      <w:pPr>
        <w:ind w:left="6477" w:hanging="180"/>
      </w:pPr>
      <w:rPr>
        <w:rFonts w:cs="Times New Roman"/>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D38DD"/>
    <w:rsid w:val="000179FA"/>
    <w:rsid w:val="00104F26"/>
    <w:rsid w:val="002C2F7A"/>
    <w:rsid w:val="003344FD"/>
    <w:rsid w:val="003532F7"/>
    <w:rsid w:val="00520B54"/>
    <w:rsid w:val="00592655"/>
    <w:rsid w:val="00A57D15"/>
    <w:rsid w:val="00A811A9"/>
    <w:rsid w:val="00B07059"/>
    <w:rsid w:val="00C05C29"/>
    <w:rsid w:val="00C36017"/>
    <w:rsid w:val="00C433B2"/>
    <w:rsid w:val="00CD38DD"/>
    <w:rsid w:val="00CE748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4F26"/>
    <w:pPr>
      <w:spacing w:after="200" w:line="276" w:lineRule="auto"/>
    </w:pPr>
    <w:rPr>
      <w:lang w:val="uk-UA"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04F26"/>
    <w:pPr>
      <w:ind w:left="720"/>
      <w:contextualSpacing/>
    </w:pPr>
  </w:style>
</w:styles>
</file>

<file path=word/webSettings.xml><?xml version="1.0" encoding="utf-8"?>
<w:webSettings xmlns:r="http://schemas.openxmlformats.org/officeDocument/2006/relationships" xmlns:w="http://schemas.openxmlformats.org/wordprocessingml/2006/main">
  <w:divs>
    <w:div w:id="437146448">
      <w:marLeft w:val="0"/>
      <w:marRight w:val="0"/>
      <w:marTop w:val="0"/>
      <w:marBottom w:val="0"/>
      <w:divBdr>
        <w:top w:val="none" w:sz="0" w:space="0" w:color="auto"/>
        <w:left w:val="none" w:sz="0" w:space="0" w:color="auto"/>
        <w:bottom w:val="none" w:sz="0" w:space="0" w:color="auto"/>
        <w:right w:val="none" w:sz="0" w:space="0" w:color="auto"/>
      </w:divBdr>
    </w:div>
    <w:div w:id="4371464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TotalTime>
  <Pages>8</Pages>
  <Words>2647</Words>
  <Characters>15094</Characters>
  <Application>Microsoft Office Outlook</Application>
  <DocSecurity>0</DocSecurity>
  <Lines>0</Lines>
  <Paragraphs>0</Paragraphs>
  <ScaleCrop>false</ScaleCrop>
  <Company>DataArt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subject/>
  <dc:creator>Полякова Галина Николаевна</dc:creator>
  <cp:keywords/>
  <dc:description/>
  <cp:lastModifiedBy>tschorna</cp:lastModifiedBy>
  <cp:revision>3</cp:revision>
  <dcterms:created xsi:type="dcterms:W3CDTF">2016-04-05T11:47:00Z</dcterms:created>
  <dcterms:modified xsi:type="dcterms:W3CDTF">2016-04-05T11:58:00Z</dcterms:modified>
</cp:coreProperties>
</file>